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D4D4E2" w14:textId="77777777" w:rsidR="00432615" w:rsidRDefault="00C16B7D">
      <w:pPr>
        <w:rPr>
          <w:b/>
          <w:sz w:val="26"/>
          <w:szCs w:val="26"/>
        </w:rPr>
      </w:pPr>
      <w:r>
        <w:rPr>
          <w:b/>
          <w:sz w:val="26"/>
          <w:szCs w:val="26"/>
        </w:rPr>
        <w:t xml:space="preserve">Business case for Probability | </w:t>
      </w:r>
      <w:proofErr w:type="spellStart"/>
      <w:r>
        <w:rPr>
          <w:b/>
          <w:sz w:val="26"/>
          <w:szCs w:val="26"/>
        </w:rPr>
        <w:t>Tūponotanga</w:t>
      </w:r>
      <w:proofErr w:type="spellEnd"/>
      <w:r>
        <w:rPr>
          <w:b/>
          <w:sz w:val="26"/>
          <w:szCs w:val="26"/>
        </w:rPr>
        <w:t xml:space="preserve"> - A Guide for Teaching Probability</w:t>
      </w:r>
    </w:p>
    <w:p w14:paraId="6FD4D4E3" w14:textId="77777777" w:rsidR="00432615" w:rsidRDefault="00432615">
      <w:pPr>
        <w:rPr>
          <w:b/>
          <w:sz w:val="26"/>
          <w:szCs w:val="26"/>
        </w:rPr>
      </w:pPr>
    </w:p>
    <w:p w14:paraId="6FD4D4E4" w14:textId="77777777" w:rsidR="00432615" w:rsidRDefault="00C16B7D">
      <w:r>
        <w:t>This business case was prepared by the Education Committee of the NZ Statistical Association and is subject to approval by the NZ Statistical Association Executive.</w:t>
      </w:r>
    </w:p>
    <w:p w14:paraId="6FD4D4E5" w14:textId="77777777" w:rsidR="00432615" w:rsidRDefault="00C16B7D">
      <w:r>
        <w:t xml:space="preserve"> </w:t>
      </w:r>
    </w:p>
    <w:p w14:paraId="6FD4D4E6" w14:textId="77777777" w:rsidR="00432615" w:rsidRDefault="00C16B7D">
      <w:pPr>
        <w:rPr>
          <w:b/>
        </w:rPr>
      </w:pPr>
      <w:r>
        <w:rPr>
          <w:b/>
        </w:rPr>
        <w:t xml:space="preserve">Project purpose </w:t>
      </w:r>
    </w:p>
    <w:p w14:paraId="6FD4D4E7" w14:textId="77777777" w:rsidR="00432615" w:rsidRDefault="00C16B7D">
      <w:r>
        <w:t xml:space="preserve"> </w:t>
      </w:r>
    </w:p>
    <w:p w14:paraId="6FD4D4E8" w14:textId="77777777" w:rsidR="00432615" w:rsidRDefault="00C16B7D">
      <w:pPr>
        <w:rPr>
          <w:i/>
        </w:rPr>
      </w:pPr>
      <w:r>
        <w:t xml:space="preserve">The purpose of this project is to support the teaching and learning of </w:t>
      </w:r>
      <w:proofErr w:type="spellStart"/>
      <w:r>
        <w:t>tūponotanga</w:t>
      </w:r>
      <w:proofErr w:type="spellEnd"/>
      <w:r>
        <w:t xml:space="preserve"> | probability in Aotearoa New Zealand schools. The project will develop a </w:t>
      </w:r>
      <w:r>
        <w:rPr>
          <w:b/>
        </w:rPr>
        <w:t xml:space="preserve">digital teacher’s guide </w:t>
      </w:r>
      <w:r>
        <w:t xml:space="preserve">(the guide), similar in purpose and structure to the Statistical Investigations | Te </w:t>
      </w:r>
      <w:proofErr w:type="spellStart"/>
      <w:r>
        <w:t>Tūhuratanga</w:t>
      </w:r>
      <w:proofErr w:type="spellEnd"/>
      <w:r>
        <w:t xml:space="preserve"> </w:t>
      </w:r>
      <w:proofErr w:type="spellStart"/>
      <w:r>
        <w:t>Tauanga</w:t>
      </w:r>
      <w:proofErr w:type="spellEnd"/>
      <w:r>
        <w:t xml:space="preserve"> book. The guide will align with the refreshed mathematics and statistics curriculum. The aim is to have initial chapters of the guide available by the end of 2024. </w:t>
      </w:r>
      <w:r>
        <w:rPr>
          <w:i/>
        </w:rPr>
        <w:t xml:space="preserve">From 2025, schools must use the refreshed mathematics and statistics and English learning areas. The implementation deadline for the </w:t>
      </w:r>
      <w:r>
        <w:rPr>
          <w:i/>
        </w:rPr>
        <w:t>full curricula is 2027</w:t>
      </w:r>
      <w:r>
        <w:rPr>
          <w:i/>
          <w:vertAlign w:val="superscript"/>
        </w:rPr>
        <w:footnoteReference w:id="1"/>
      </w:r>
      <w:r>
        <w:rPr>
          <w:i/>
        </w:rPr>
        <w:t>.</w:t>
      </w:r>
    </w:p>
    <w:p w14:paraId="6FD4D4E9" w14:textId="77777777" w:rsidR="00432615" w:rsidRDefault="00432615"/>
    <w:p w14:paraId="6FD4D4EA" w14:textId="77777777" w:rsidR="00432615" w:rsidRDefault="00C16B7D">
      <w:pPr>
        <w:rPr>
          <w:b/>
        </w:rPr>
      </w:pPr>
      <w:r>
        <w:rPr>
          <w:b/>
        </w:rPr>
        <w:t xml:space="preserve">Rationale for </w:t>
      </w:r>
      <w:proofErr w:type="gramStart"/>
      <w:r>
        <w:rPr>
          <w:b/>
        </w:rPr>
        <w:t>this teachers</w:t>
      </w:r>
      <w:proofErr w:type="gramEnd"/>
      <w:r>
        <w:rPr>
          <w:b/>
        </w:rPr>
        <w:t xml:space="preserve"> guide</w:t>
      </w:r>
    </w:p>
    <w:p w14:paraId="6FD4D4EB" w14:textId="77777777" w:rsidR="00432615" w:rsidRDefault="00432615">
      <w:pPr>
        <w:rPr>
          <w:b/>
        </w:rPr>
      </w:pPr>
    </w:p>
    <w:p w14:paraId="6FD4D4EC" w14:textId="77777777" w:rsidR="00432615" w:rsidRDefault="00C16B7D">
      <w:r>
        <w:t xml:space="preserve">The refreshed mathematics and statistics curriculum and the NCEA change package offer a unique opportunity to reset, refocus and re-engage teachers with </w:t>
      </w:r>
      <w:proofErr w:type="spellStart"/>
      <w:r>
        <w:t>tūponotanga</w:t>
      </w:r>
      <w:proofErr w:type="spellEnd"/>
      <w:r>
        <w:t xml:space="preserve"> | probability.  This project recognises the importance probability plays in everyday decisions and understanding of our changing world. Probability underpins daily decisions, in both our personal and professional lives. People, both as workers and citizens, increasingly need probability thinking skills to understand and make decisions about the world around them. Many societal issues involve uncertainty and risk.</w:t>
      </w:r>
    </w:p>
    <w:p w14:paraId="6FD4D4ED" w14:textId="77777777" w:rsidR="00432615" w:rsidRDefault="00432615"/>
    <w:p w14:paraId="6FD4D4EE" w14:textId="77777777" w:rsidR="00432615" w:rsidRDefault="00C16B7D">
      <w:r>
        <w:t xml:space="preserve">Previously our focus has been on the statistical investigations and statistical literacy strands in the curriculum, which are considered world leading. We now need to work on or turn our attention to the probability strand to reflect the world we live in, </w:t>
      </w:r>
      <w:proofErr w:type="gramStart"/>
      <w:r>
        <w:t>research,  and</w:t>
      </w:r>
      <w:proofErr w:type="gramEnd"/>
      <w:r>
        <w:t xml:space="preserve"> technological innovations  to provide teachers with a 21st century approach to probability. There is an urgent need to update our approach to teaching probability.</w:t>
      </w:r>
    </w:p>
    <w:p w14:paraId="6FD4D4EF" w14:textId="77777777" w:rsidR="00432615" w:rsidRDefault="00432615"/>
    <w:p w14:paraId="6FD4D4F0" w14:textId="77777777" w:rsidR="00432615" w:rsidRDefault="00C16B7D">
      <w:r>
        <w:t>We have not found existing books that meet the needs of Aotearoa New Zealand teachers. Our strong history of teaching statistics and probability from years 1 to 13, with contexts, applications, and technology, puts us ahead of writers elsewhere.</w:t>
      </w:r>
    </w:p>
    <w:p w14:paraId="6FD4D4F1" w14:textId="77777777" w:rsidR="00432615" w:rsidRDefault="00C16B7D">
      <w:r>
        <w:t xml:space="preserve"> </w:t>
      </w:r>
    </w:p>
    <w:p w14:paraId="6FD4D4F2" w14:textId="77777777" w:rsidR="00432615" w:rsidRDefault="00C16B7D">
      <w:pPr>
        <w:rPr>
          <w:b/>
        </w:rPr>
      </w:pPr>
      <w:r>
        <w:rPr>
          <w:b/>
        </w:rPr>
        <w:t>Proposed content for the teacher’s guide</w:t>
      </w:r>
    </w:p>
    <w:p w14:paraId="6FD4D4F3" w14:textId="77777777" w:rsidR="00432615" w:rsidRDefault="00432615"/>
    <w:p w14:paraId="6FD4D4F4" w14:textId="77777777" w:rsidR="00432615" w:rsidRDefault="00C16B7D">
      <w:r>
        <w:t xml:space="preserve">The teacher’s guide will show </w:t>
      </w:r>
      <w:proofErr w:type="spellStart"/>
      <w:r>
        <w:t>tūponotanga</w:t>
      </w:r>
      <w:proofErr w:type="spellEnd"/>
      <w:r>
        <w:t xml:space="preserve"> | probability progressions from phase 1 through 5 (years 1-13 inclusive). </w:t>
      </w:r>
    </w:p>
    <w:p w14:paraId="6FD4D4F5" w14:textId="77777777" w:rsidR="00432615" w:rsidRDefault="00432615"/>
    <w:p w14:paraId="6FD4D4F6" w14:textId="77777777" w:rsidR="00432615" w:rsidRDefault="00C16B7D">
      <w:r>
        <w:t>The teacher’s guide of 8-10 chapters will include:</w:t>
      </w:r>
    </w:p>
    <w:p w14:paraId="6FD4D4F7" w14:textId="77777777" w:rsidR="00432615" w:rsidRDefault="00C16B7D">
      <w:pPr>
        <w:numPr>
          <w:ilvl w:val="0"/>
          <w:numId w:val="2"/>
        </w:numPr>
      </w:pPr>
      <w:proofErr w:type="spellStart"/>
      <w:r>
        <w:t>tūponotanga</w:t>
      </w:r>
      <w:proofErr w:type="spellEnd"/>
      <w:r>
        <w:t xml:space="preserve"> | probability pedagogical and subject content knowledge</w:t>
      </w:r>
    </w:p>
    <w:p w14:paraId="6FD4D4F8" w14:textId="77777777" w:rsidR="00432615" w:rsidRDefault="00C16B7D">
      <w:pPr>
        <w:numPr>
          <w:ilvl w:val="0"/>
          <w:numId w:val="2"/>
        </w:numPr>
      </w:pPr>
      <w:proofErr w:type="spellStart"/>
      <w:r>
        <w:t>mātauranga</w:t>
      </w:r>
      <w:proofErr w:type="spellEnd"/>
      <w:r>
        <w:t xml:space="preserve"> Māori and te </w:t>
      </w:r>
      <w:proofErr w:type="spellStart"/>
      <w:r>
        <w:t>ao</w:t>
      </w:r>
      <w:proofErr w:type="spellEnd"/>
      <w:r>
        <w:t xml:space="preserve"> Māori perspectives on </w:t>
      </w:r>
      <w:proofErr w:type="spellStart"/>
      <w:r>
        <w:t>tūponotanga</w:t>
      </w:r>
      <w:proofErr w:type="spellEnd"/>
      <w:r>
        <w:t xml:space="preserve"> | probability, reflecting the bicultural foundation of Aotearoa New Zealand</w:t>
      </w:r>
    </w:p>
    <w:p w14:paraId="6FD4D4F9" w14:textId="77777777" w:rsidR="00432615" w:rsidRDefault="00C16B7D">
      <w:pPr>
        <w:numPr>
          <w:ilvl w:val="0"/>
          <w:numId w:val="2"/>
        </w:numPr>
      </w:pPr>
      <w:r>
        <w:t xml:space="preserve">diverse cultural perspectives of </w:t>
      </w:r>
      <w:proofErr w:type="spellStart"/>
      <w:r>
        <w:t>tūponotanga</w:t>
      </w:r>
      <w:proofErr w:type="spellEnd"/>
      <w:r>
        <w:t xml:space="preserve"> | probability, including Pacific and other worldviews, and the history of </w:t>
      </w:r>
      <w:proofErr w:type="spellStart"/>
      <w:r>
        <w:t>tūponotanga</w:t>
      </w:r>
      <w:proofErr w:type="spellEnd"/>
      <w:r>
        <w:t xml:space="preserve"> | </w:t>
      </w:r>
      <w:proofErr w:type="gramStart"/>
      <w:r>
        <w:t>probability</w:t>
      </w:r>
      <w:proofErr w:type="gramEnd"/>
    </w:p>
    <w:p w14:paraId="6FD4D4FA" w14:textId="77777777" w:rsidR="00432615" w:rsidRDefault="00C16B7D">
      <w:pPr>
        <w:numPr>
          <w:ilvl w:val="0"/>
          <w:numId w:val="2"/>
        </w:numPr>
      </w:pPr>
      <w:r>
        <w:t xml:space="preserve">rich teaching and learning activities, including activities that embrace </w:t>
      </w:r>
      <w:proofErr w:type="gramStart"/>
      <w:r>
        <w:t>technology</w:t>
      </w:r>
      <w:proofErr w:type="gramEnd"/>
    </w:p>
    <w:p w14:paraId="6FD4D4FB" w14:textId="77777777" w:rsidR="00432615" w:rsidRDefault="00C16B7D">
      <w:pPr>
        <w:numPr>
          <w:ilvl w:val="0"/>
          <w:numId w:val="2"/>
        </w:numPr>
      </w:pPr>
      <w:r>
        <w:t xml:space="preserve">real world applications of </w:t>
      </w:r>
      <w:proofErr w:type="spellStart"/>
      <w:r>
        <w:t>tūponotanga</w:t>
      </w:r>
      <w:proofErr w:type="spellEnd"/>
      <w:r>
        <w:t xml:space="preserve"> | probability</w:t>
      </w:r>
    </w:p>
    <w:p w14:paraId="6FD4D4FC" w14:textId="77777777" w:rsidR="00432615" w:rsidRDefault="00C16B7D">
      <w:pPr>
        <w:numPr>
          <w:ilvl w:val="0"/>
          <w:numId w:val="2"/>
        </w:numPr>
      </w:pPr>
      <w:r>
        <w:t xml:space="preserve">research-based rationales for the need to adopt a particular learning </w:t>
      </w:r>
      <w:proofErr w:type="gramStart"/>
      <w:r>
        <w:t>approach</w:t>
      </w:r>
      <w:proofErr w:type="gramEnd"/>
    </w:p>
    <w:p w14:paraId="6FD4D4FD" w14:textId="77777777" w:rsidR="00432615" w:rsidRDefault="00C16B7D">
      <w:pPr>
        <w:numPr>
          <w:ilvl w:val="0"/>
          <w:numId w:val="2"/>
        </w:numPr>
      </w:pPr>
      <w:r>
        <w:t>innovative solutions for progressions and activities for topics (e.g., risk) that are not currently part of school curricula but urgently need to be addressed.</w:t>
      </w:r>
    </w:p>
    <w:p w14:paraId="6FD4D4FE" w14:textId="77777777" w:rsidR="00432615" w:rsidRDefault="00432615"/>
    <w:p w14:paraId="6FD4D4FF" w14:textId="77777777" w:rsidR="00432615" w:rsidRDefault="00C16B7D">
      <w:pPr>
        <w:rPr>
          <w:b/>
        </w:rPr>
      </w:pPr>
      <w:r>
        <w:rPr>
          <w:b/>
        </w:rPr>
        <w:t>Format</w:t>
      </w:r>
    </w:p>
    <w:p w14:paraId="6FD4D500" w14:textId="77777777" w:rsidR="00432615" w:rsidRDefault="00432615"/>
    <w:p w14:paraId="6FD4D501" w14:textId="77777777" w:rsidR="00432615" w:rsidRDefault="00C16B7D">
      <w:pPr>
        <w:numPr>
          <w:ilvl w:val="0"/>
          <w:numId w:val="3"/>
        </w:numPr>
      </w:pPr>
      <w:r>
        <w:t xml:space="preserve">A digital book (the guide) that is available for free download, with an option to purchase printed copies. </w:t>
      </w:r>
    </w:p>
    <w:p w14:paraId="6FD4D502" w14:textId="77777777" w:rsidR="00432615" w:rsidRDefault="00C16B7D">
      <w:pPr>
        <w:numPr>
          <w:ilvl w:val="0"/>
          <w:numId w:val="3"/>
        </w:numPr>
      </w:pPr>
      <w:r>
        <w:t xml:space="preserve">This is a teachers’ resource, not a </w:t>
      </w:r>
      <w:proofErr w:type="gramStart"/>
      <w:r>
        <w:t>text book</w:t>
      </w:r>
      <w:proofErr w:type="gramEnd"/>
      <w:r>
        <w:t xml:space="preserve"> for students.</w:t>
      </w:r>
    </w:p>
    <w:p w14:paraId="6FD4D503" w14:textId="77777777" w:rsidR="00432615" w:rsidRDefault="00432615"/>
    <w:p w14:paraId="6FD4D504" w14:textId="77777777" w:rsidR="00432615" w:rsidRDefault="00C16B7D">
      <w:pPr>
        <w:rPr>
          <w:b/>
        </w:rPr>
      </w:pPr>
      <w:r>
        <w:rPr>
          <w:b/>
        </w:rPr>
        <w:t xml:space="preserve">Nice to have, but not included in the funding </w:t>
      </w:r>
      <w:proofErr w:type="gramStart"/>
      <w:r>
        <w:rPr>
          <w:b/>
        </w:rPr>
        <w:t>proposal</w:t>
      </w:r>
      <w:proofErr w:type="gramEnd"/>
    </w:p>
    <w:p w14:paraId="6FD4D505" w14:textId="77777777" w:rsidR="00432615" w:rsidRDefault="00C16B7D">
      <w:pPr>
        <w:numPr>
          <w:ilvl w:val="0"/>
          <w:numId w:val="3"/>
        </w:numPr>
      </w:pPr>
      <w:r>
        <w:t>A flexible and expandable set of digital resources to support the guide.</w:t>
      </w:r>
    </w:p>
    <w:p w14:paraId="6FD4D506" w14:textId="77777777" w:rsidR="00432615" w:rsidRDefault="00C16B7D">
      <w:pPr>
        <w:numPr>
          <w:ilvl w:val="0"/>
          <w:numId w:val="3"/>
        </w:numPr>
      </w:pPr>
      <w:r>
        <w:t xml:space="preserve">The guide is updateable to reflect growth and change in </w:t>
      </w:r>
      <w:proofErr w:type="spellStart"/>
      <w:r>
        <w:t>tūponotanga</w:t>
      </w:r>
      <w:proofErr w:type="spellEnd"/>
      <w:r>
        <w:t xml:space="preserve"> | probability.</w:t>
      </w:r>
    </w:p>
    <w:p w14:paraId="6FD4D507" w14:textId="77777777" w:rsidR="00432615" w:rsidRDefault="00C16B7D">
      <w:r>
        <w:t xml:space="preserve"> </w:t>
      </w:r>
    </w:p>
    <w:p w14:paraId="6FD4D508" w14:textId="77777777" w:rsidR="00432615" w:rsidRDefault="00C16B7D">
      <w:pPr>
        <w:rPr>
          <w:b/>
        </w:rPr>
      </w:pPr>
      <w:r>
        <w:rPr>
          <w:b/>
        </w:rPr>
        <w:t>Project team</w:t>
      </w:r>
    </w:p>
    <w:p w14:paraId="6FD4D509" w14:textId="77777777" w:rsidR="00432615" w:rsidRDefault="00432615"/>
    <w:p w14:paraId="6FD4D50A" w14:textId="77777777" w:rsidR="00432615" w:rsidRDefault="00C16B7D">
      <w:pPr>
        <w:numPr>
          <w:ilvl w:val="0"/>
          <w:numId w:val="1"/>
        </w:numPr>
      </w:pPr>
      <w:r>
        <w:t>Steering group</w:t>
      </w:r>
    </w:p>
    <w:p w14:paraId="6FD4D50B" w14:textId="77777777" w:rsidR="00432615" w:rsidRDefault="00C16B7D">
      <w:pPr>
        <w:numPr>
          <w:ilvl w:val="0"/>
          <w:numId w:val="1"/>
        </w:numPr>
      </w:pPr>
      <w:r>
        <w:t>Project administration</w:t>
      </w:r>
    </w:p>
    <w:p w14:paraId="6FD4D50C" w14:textId="77777777" w:rsidR="00432615" w:rsidRDefault="00C16B7D">
      <w:pPr>
        <w:numPr>
          <w:ilvl w:val="0"/>
          <w:numId w:val="1"/>
        </w:numPr>
      </w:pPr>
      <w:r>
        <w:t>Project leader</w:t>
      </w:r>
    </w:p>
    <w:p w14:paraId="6FD4D50D" w14:textId="77777777" w:rsidR="00432615" w:rsidRDefault="00C16B7D">
      <w:pPr>
        <w:numPr>
          <w:ilvl w:val="0"/>
          <w:numId w:val="1"/>
        </w:numPr>
      </w:pPr>
      <w:r>
        <w:t xml:space="preserve">Editors </w:t>
      </w:r>
    </w:p>
    <w:p w14:paraId="6FD4D50E" w14:textId="77777777" w:rsidR="00432615" w:rsidRDefault="00C16B7D">
      <w:pPr>
        <w:numPr>
          <w:ilvl w:val="0"/>
          <w:numId w:val="1"/>
        </w:numPr>
      </w:pPr>
      <w:r>
        <w:t>Content writers</w:t>
      </w:r>
    </w:p>
    <w:p w14:paraId="6FD4D50F" w14:textId="77777777" w:rsidR="00432615" w:rsidRDefault="00C16B7D">
      <w:pPr>
        <w:numPr>
          <w:ilvl w:val="0"/>
          <w:numId w:val="1"/>
        </w:numPr>
      </w:pPr>
      <w:r>
        <w:t>Reviewers</w:t>
      </w:r>
    </w:p>
    <w:p w14:paraId="6FD4D510" w14:textId="77777777" w:rsidR="00432615" w:rsidRDefault="00C16B7D">
      <w:pPr>
        <w:numPr>
          <w:ilvl w:val="0"/>
          <w:numId w:val="1"/>
        </w:numPr>
      </w:pPr>
      <w:r>
        <w:t>Publishers</w:t>
      </w:r>
    </w:p>
    <w:p w14:paraId="6FD4D511" w14:textId="77777777" w:rsidR="00432615" w:rsidRDefault="00432615">
      <w:pPr>
        <w:rPr>
          <w:b/>
        </w:rPr>
      </w:pPr>
    </w:p>
    <w:p w14:paraId="6FD4D512" w14:textId="77777777" w:rsidR="00432615" w:rsidRDefault="00C16B7D">
      <w:pPr>
        <w:rPr>
          <w:b/>
        </w:rPr>
      </w:pPr>
      <w:r>
        <w:rPr>
          <w:b/>
        </w:rPr>
        <w:t xml:space="preserve">Funding support </w:t>
      </w:r>
      <w:proofErr w:type="gramStart"/>
      <w:r>
        <w:rPr>
          <w:b/>
        </w:rPr>
        <w:t>required</w:t>
      </w:r>
      <w:proofErr w:type="gramEnd"/>
    </w:p>
    <w:p w14:paraId="6FD4D513" w14:textId="77777777" w:rsidR="00432615" w:rsidRDefault="00C16B7D">
      <w:r>
        <w:t>We are seeking funding support from NZSA and NZAMT. Details below.</w:t>
      </w:r>
    </w:p>
    <w:p w14:paraId="6FD4D514" w14:textId="77777777" w:rsidR="00432615" w:rsidRDefault="00432615">
      <w:pPr>
        <w:rPr>
          <w:b/>
        </w:rPr>
      </w:pPr>
    </w:p>
    <w:p w14:paraId="6FD4D515" w14:textId="77777777" w:rsidR="00432615" w:rsidRDefault="00C16B7D">
      <w:pPr>
        <w:rPr>
          <w:b/>
        </w:rPr>
      </w:pPr>
      <w:r>
        <w:rPr>
          <w:b/>
        </w:rPr>
        <w:t>NZSA</w:t>
      </w:r>
    </w:p>
    <w:p w14:paraId="6FD4D516" w14:textId="77777777" w:rsidR="00432615" w:rsidRDefault="00C16B7D">
      <w:r>
        <w:t>Project leader</w:t>
      </w:r>
      <w:r>
        <w:tab/>
      </w:r>
      <w:r>
        <w:tab/>
      </w:r>
      <w:r>
        <w:tab/>
        <w:t>$15,000</w:t>
      </w:r>
    </w:p>
    <w:p w14:paraId="6FD4D517" w14:textId="77777777" w:rsidR="00432615" w:rsidRDefault="00C16B7D">
      <w:r>
        <w:t>App development</w:t>
      </w:r>
      <w:r>
        <w:tab/>
      </w:r>
      <w:r>
        <w:tab/>
        <w:t>$10,000</w:t>
      </w:r>
    </w:p>
    <w:p w14:paraId="6FD4D518" w14:textId="77777777" w:rsidR="00432615" w:rsidRDefault="00C16B7D">
      <w:r>
        <w:t>Publishing</w:t>
      </w:r>
      <w:r>
        <w:tab/>
      </w:r>
      <w:r>
        <w:tab/>
      </w:r>
      <w:r>
        <w:tab/>
        <w:t>$40,000*</w:t>
      </w:r>
      <w:r>
        <w:tab/>
      </w:r>
      <w:r>
        <w:tab/>
        <w:t xml:space="preserve">See end of document for details on </w:t>
      </w:r>
      <w:proofErr w:type="gramStart"/>
      <w:r>
        <w:t>this</w:t>
      </w:r>
      <w:proofErr w:type="gramEnd"/>
      <w:r>
        <w:tab/>
      </w:r>
      <w:r>
        <w:tab/>
      </w:r>
    </w:p>
    <w:p w14:paraId="6FD4D519" w14:textId="77777777" w:rsidR="00432615" w:rsidRDefault="00432615"/>
    <w:p w14:paraId="6FD4D51A" w14:textId="77777777" w:rsidR="00432615" w:rsidRDefault="00C16B7D">
      <w:pPr>
        <w:rPr>
          <w:b/>
        </w:rPr>
      </w:pPr>
      <w:r>
        <w:rPr>
          <w:b/>
        </w:rPr>
        <w:t>Total</w:t>
      </w:r>
      <w:r>
        <w:rPr>
          <w:b/>
        </w:rPr>
        <w:tab/>
      </w:r>
      <w:r>
        <w:rPr>
          <w:b/>
        </w:rPr>
        <w:tab/>
      </w:r>
      <w:r>
        <w:rPr>
          <w:b/>
        </w:rPr>
        <w:tab/>
      </w:r>
      <w:r>
        <w:rPr>
          <w:b/>
        </w:rPr>
        <w:tab/>
        <w:t>$65,000</w:t>
      </w:r>
    </w:p>
    <w:p w14:paraId="6FD4D51B" w14:textId="77777777" w:rsidR="00432615" w:rsidRDefault="00432615">
      <w:pPr>
        <w:rPr>
          <w:b/>
        </w:rPr>
      </w:pPr>
    </w:p>
    <w:p w14:paraId="6FD4D51C" w14:textId="77777777" w:rsidR="00432615" w:rsidRDefault="00C16B7D">
      <w:pPr>
        <w:rPr>
          <w:b/>
        </w:rPr>
      </w:pPr>
      <w:r>
        <w:rPr>
          <w:b/>
        </w:rPr>
        <w:t>NZAMT</w:t>
      </w:r>
    </w:p>
    <w:p w14:paraId="6FD4D51D" w14:textId="77777777" w:rsidR="00432615" w:rsidRDefault="00C16B7D">
      <w:r>
        <w:t>Project administration</w:t>
      </w:r>
      <w:r>
        <w:tab/>
      </w:r>
      <w:r>
        <w:tab/>
        <w:t>$5,000</w:t>
      </w:r>
    </w:p>
    <w:p w14:paraId="6FD4D51E" w14:textId="77777777" w:rsidR="00432615" w:rsidRDefault="00C16B7D">
      <w:r>
        <w:t>Chapter development</w:t>
      </w:r>
      <w:r>
        <w:tab/>
      </w:r>
      <w:r>
        <w:tab/>
        <w:t>$30,000</w:t>
      </w:r>
      <w:r>
        <w:tab/>
      </w:r>
      <w:r>
        <w:tab/>
        <w:t xml:space="preserve">Cost of teacher release to contribute to the </w:t>
      </w:r>
      <w:proofErr w:type="gramStart"/>
      <w:r>
        <w:t>book</w:t>
      </w:r>
      <w:proofErr w:type="gramEnd"/>
    </w:p>
    <w:p w14:paraId="6FD4D51F" w14:textId="77777777" w:rsidR="00432615" w:rsidRDefault="00C16B7D">
      <w:r>
        <w:t>Teacher reviewers</w:t>
      </w:r>
      <w:r>
        <w:tab/>
      </w:r>
      <w:r>
        <w:tab/>
        <w:t>$2,000</w:t>
      </w:r>
      <w:r>
        <w:tab/>
      </w:r>
      <w:r>
        <w:tab/>
      </w:r>
      <w:r>
        <w:tab/>
        <w:t>Cost of printed copies of the book</w:t>
      </w:r>
    </w:p>
    <w:p w14:paraId="6FD4D520" w14:textId="77777777" w:rsidR="00432615" w:rsidRDefault="00432615"/>
    <w:p w14:paraId="6FD4D521" w14:textId="77777777" w:rsidR="00432615" w:rsidRDefault="00C16B7D">
      <w:pPr>
        <w:rPr>
          <w:b/>
        </w:rPr>
      </w:pPr>
      <w:r>
        <w:rPr>
          <w:b/>
        </w:rPr>
        <w:t>Total</w:t>
      </w:r>
      <w:r>
        <w:rPr>
          <w:b/>
        </w:rPr>
        <w:tab/>
      </w:r>
      <w:r>
        <w:rPr>
          <w:b/>
        </w:rPr>
        <w:tab/>
      </w:r>
      <w:r>
        <w:rPr>
          <w:b/>
        </w:rPr>
        <w:tab/>
      </w:r>
      <w:r>
        <w:rPr>
          <w:b/>
        </w:rPr>
        <w:tab/>
        <w:t>$37,000</w:t>
      </w:r>
    </w:p>
    <w:p w14:paraId="6FD4D522" w14:textId="77777777" w:rsidR="00432615" w:rsidRDefault="00432615">
      <w:pPr>
        <w:rPr>
          <w:highlight w:val="yellow"/>
        </w:rPr>
      </w:pPr>
    </w:p>
    <w:p w14:paraId="6FD4D523" w14:textId="77777777" w:rsidR="00432615" w:rsidRDefault="00C16B7D">
      <w:r>
        <w:t xml:space="preserve">Editors, </w:t>
      </w:r>
      <w:proofErr w:type="gramStart"/>
      <w:r>
        <w:t>reviewers</w:t>
      </w:r>
      <w:proofErr w:type="gramEnd"/>
      <w:r>
        <w:t xml:space="preserve"> and academic content writers will not be paid. It is expected that this will come within their community service and/or academic outputs. </w:t>
      </w:r>
    </w:p>
    <w:p w14:paraId="6FD4D524" w14:textId="77777777" w:rsidR="00432615" w:rsidRDefault="00432615"/>
    <w:p w14:paraId="6FD4D525" w14:textId="77777777" w:rsidR="00432615" w:rsidRDefault="00C16B7D">
      <w:pPr>
        <w:rPr>
          <w:b/>
        </w:rPr>
      </w:pPr>
      <w:r>
        <w:rPr>
          <w:b/>
        </w:rPr>
        <w:t>Suggested timeline</w:t>
      </w:r>
    </w:p>
    <w:p w14:paraId="6FD4D526" w14:textId="77777777" w:rsidR="00432615" w:rsidRDefault="00C16B7D">
      <w:pPr>
        <w:rPr>
          <w:u w:val="single"/>
        </w:rPr>
      </w:pPr>
      <w:r>
        <w:rPr>
          <w:u w:val="single"/>
        </w:rPr>
        <w:t>2023</w:t>
      </w:r>
    </w:p>
    <w:tbl>
      <w:tblPr>
        <w:tblStyle w:val="a"/>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6"/>
        <w:gridCol w:w="3907"/>
        <w:gridCol w:w="3907"/>
      </w:tblGrid>
      <w:tr w:rsidR="00432615" w14:paraId="6FD4D52A" w14:textId="77777777">
        <w:tc>
          <w:tcPr>
            <w:tcW w:w="2355" w:type="dxa"/>
            <w:shd w:val="clear" w:color="auto" w:fill="CCCCCC"/>
            <w:tcMar>
              <w:top w:w="100" w:type="dxa"/>
              <w:left w:w="100" w:type="dxa"/>
              <w:bottom w:w="100" w:type="dxa"/>
              <w:right w:w="100" w:type="dxa"/>
            </w:tcMar>
          </w:tcPr>
          <w:p w14:paraId="6FD4D527" w14:textId="77777777" w:rsidR="00432615" w:rsidRDefault="00C16B7D">
            <w:pPr>
              <w:widowControl w:val="0"/>
              <w:pBdr>
                <w:top w:val="nil"/>
                <w:left w:val="nil"/>
                <w:bottom w:val="nil"/>
                <w:right w:val="nil"/>
                <w:between w:val="nil"/>
              </w:pBdr>
              <w:spacing w:line="240" w:lineRule="auto"/>
            </w:pPr>
            <w:r>
              <w:t>Month</w:t>
            </w:r>
          </w:p>
        </w:tc>
        <w:tc>
          <w:tcPr>
            <w:tcW w:w="3907" w:type="dxa"/>
            <w:shd w:val="clear" w:color="auto" w:fill="CCCCCC"/>
            <w:tcMar>
              <w:top w:w="100" w:type="dxa"/>
              <w:left w:w="100" w:type="dxa"/>
              <w:bottom w:w="100" w:type="dxa"/>
              <w:right w:w="100" w:type="dxa"/>
            </w:tcMar>
          </w:tcPr>
          <w:p w14:paraId="6FD4D528" w14:textId="77777777" w:rsidR="00432615" w:rsidRDefault="00C16B7D">
            <w:pPr>
              <w:widowControl w:val="0"/>
              <w:pBdr>
                <w:top w:val="nil"/>
                <w:left w:val="nil"/>
                <w:bottom w:val="nil"/>
                <w:right w:val="nil"/>
                <w:between w:val="nil"/>
              </w:pBdr>
              <w:spacing w:line="240" w:lineRule="auto"/>
            </w:pPr>
            <w:r>
              <w:t>Funding</w:t>
            </w:r>
          </w:p>
        </w:tc>
        <w:tc>
          <w:tcPr>
            <w:tcW w:w="3907" w:type="dxa"/>
            <w:shd w:val="clear" w:color="auto" w:fill="CCCCCC"/>
            <w:tcMar>
              <w:top w:w="100" w:type="dxa"/>
              <w:left w:w="100" w:type="dxa"/>
              <w:bottom w:w="100" w:type="dxa"/>
              <w:right w:w="100" w:type="dxa"/>
            </w:tcMar>
          </w:tcPr>
          <w:p w14:paraId="6FD4D529" w14:textId="77777777" w:rsidR="00432615" w:rsidRDefault="00C16B7D">
            <w:pPr>
              <w:widowControl w:val="0"/>
              <w:pBdr>
                <w:top w:val="nil"/>
                <w:left w:val="nil"/>
                <w:bottom w:val="nil"/>
                <w:right w:val="nil"/>
                <w:between w:val="nil"/>
              </w:pBdr>
              <w:spacing w:line="240" w:lineRule="auto"/>
            </w:pPr>
            <w:r>
              <w:t>Project work</w:t>
            </w:r>
          </w:p>
        </w:tc>
      </w:tr>
      <w:tr w:rsidR="00432615" w14:paraId="6FD4D52F" w14:textId="77777777">
        <w:trPr>
          <w:trHeight w:val="420"/>
        </w:trPr>
        <w:tc>
          <w:tcPr>
            <w:tcW w:w="2355" w:type="dxa"/>
            <w:shd w:val="clear" w:color="auto" w:fill="auto"/>
            <w:tcMar>
              <w:top w:w="100" w:type="dxa"/>
              <w:left w:w="100" w:type="dxa"/>
              <w:bottom w:w="100" w:type="dxa"/>
              <w:right w:w="100" w:type="dxa"/>
            </w:tcMar>
          </w:tcPr>
          <w:p w14:paraId="6FD4D52B" w14:textId="77777777" w:rsidR="00432615" w:rsidRDefault="00C16B7D">
            <w:pPr>
              <w:widowControl w:val="0"/>
              <w:pBdr>
                <w:top w:val="nil"/>
                <w:left w:val="nil"/>
                <w:bottom w:val="nil"/>
                <w:right w:val="nil"/>
                <w:between w:val="nil"/>
              </w:pBdr>
              <w:spacing w:line="240" w:lineRule="auto"/>
            </w:pPr>
            <w:r>
              <w:t>November</w:t>
            </w:r>
          </w:p>
        </w:tc>
        <w:tc>
          <w:tcPr>
            <w:tcW w:w="3907" w:type="dxa"/>
            <w:vMerge w:val="restart"/>
            <w:shd w:val="clear" w:color="auto" w:fill="auto"/>
            <w:tcMar>
              <w:top w:w="100" w:type="dxa"/>
              <w:left w:w="100" w:type="dxa"/>
              <w:bottom w:w="100" w:type="dxa"/>
              <w:right w:w="100" w:type="dxa"/>
            </w:tcMar>
          </w:tcPr>
          <w:p w14:paraId="6FD4D52C" w14:textId="77777777" w:rsidR="00432615" w:rsidRDefault="00C16B7D">
            <w:pPr>
              <w:widowControl w:val="0"/>
              <w:pBdr>
                <w:top w:val="nil"/>
                <w:left w:val="nil"/>
                <w:bottom w:val="nil"/>
                <w:right w:val="nil"/>
                <w:between w:val="nil"/>
              </w:pBdr>
              <w:spacing w:line="240" w:lineRule="auto"/>
            </w:pPr>
            <w:r>
              <w:t xml:space="preserve">Contact funders </w:t>
            </w:r>
          </w:p>
        </w:tc>
        <w:tc>
          <w:tcPr>
            <w:tcW w:w="3907" w:type="dxa"/>
            <w:shd w:val="clear" w:color="auto" w:fill="auto"/>
            <w:tcMar>
              <w:top w:w="100" w:type="dxa"/>
              <w:left w:w="100" w:type="dxa"/>
              <w:bottom w:w="100" w:type="dxa"/>
              <w:right w:w="100" w:type="dxa"/>
            </w:tcMar>
          </w:tcPr>
          <w:p w14:paraId="6FD4D52D" w14:textId="77777777" w:rsidR="00432615" w:rsidRDefault="00432615">
            <w:pPr>
              <w:widowControl w:val="0"/>
              <w:pBdr>
                <w:top w:val="nil"/>
                <w:left w:val="nil"/>
                <w:bottom w:val="nil"/>
                <w:right w:val="nil"/>
                <w:between w:val="nil"/>
              </w:pBdr>
              <w:spacing w:line="240" w:lineRule="auto"/>
            </w:pPr>
          </w:p>
          <w:p w14:paraId="6FD4D52E" w14:textId="77777777" w:rsidR="00432615" w:rsidRDefault="00432615">
            <w:pPr>
              <w:widowControl w:val="0"/>
              <w:pBdr>
                <w:top w:val="nil"/>
                <w:left w:val="nil"/>
                <w:bottom w:val="nil"/>
                <w:right w:val="nil"/>
                <w:between w:val="nil"/>
              </w:pBdr>
              <w:spacing w:line="240" w:lineRule="auto"/>
            </w:pPr>
          </w:p>
        </w:tc>
      </w:tr>
      <w:tr w:rsidR="00432615" w14:paraId="6FD4D534" w14:textId="77777777">
        <w:trPr>
          <w:trHeight w:val="420"/>
        </w:trPr>
        <w:tc>
          <w:tcPr>
            <w:tcW w:w="2355" w:type="dxa"/>
            <w:shd w:val="clear" w:color="auto" w:fill="auto"/>
            <w:tcMar>
              <w:top w:w="100" w:type="dxa"/>
              <w:left w:w="100" w:type="dxa"/>
              <w:bottom w:w="100" w:type="dxa"/>
              <w:right w:w="100" w:type="dxa"/>
            </w:tcMar>
          </w:tcPr>
          <w:p w14:paraId="6FD4D530" w14:textId="77777777" w:rsidR="00432615" w:rsidRDefault="00C16B7D">
            <w:pPr>
              <w:widowControl w:val="0"/>
              <w:pBdr>
                <w:top w:val="nil"/>
                <w:left w:val="nil"/>
                <w:bottom w:val="nil"/>
                <w:right w:val="nil"/>
                <w:between w:val="nil"/>
              </w:pBdr>
              <w:spacing w:line="240" w:lineRule="auto"/>
            </w:pPr>
            <w:r>
              <w:t>December</w:t>
            </w:r>
          </w:p>
        </w:tc>
        <w:tc>
          <w:tcPr>
            <w:tcW w:w="3907" w:type="dxa"/>
            <w:vMerge/>
            <w:shd w:val="clear" w:color="auto" w:fill="auto"/>
            <w:tcMar>
              <w:top w:w="100" w:type="dxa"/>
              <w:left w:w="100" w:type="dxa"/>
              <w:bottom w:w="100" w:type="dxa"/>
              <w:right w:w="100" w:type="dxa"/>
            </w:tcMar>
          </w:tcPr>
          <w:p w14:paraId="6FD4D531" w14:textId="77777777" w:rsidR="00432615" w:rsidRDefault="00432615">
            <w:pPr>
              <w:widowControl w:val="0"/>
              <w:pBdr>
                <w:top w:val="nil"/>
                <w:left w:val="nil"/>
                <w:bottom w:val="nil"/>
                <w:right w:val="nil"/>
                <w:between w:val="nil"/>
              </w:pBdr>
              <w:spacing w:line="240" w:lineRule="auto"/>
            </w:pPr>
          </w:p>
        </w:tc>
        <w:tc>
          <w:tcPr>
            <w:tcW w:w="3907" w:type="dxa"/>
            <w:shd w:val="clear" w:color="auto" w:fill="auto"/>
            <w:tcMar>
              <w:top w:w="100" w:type="dxa"/>
              <w:left w:w="100" w:type="dxa"/>
              <w:bottom w:w="100" w:type="dxa"/>
              <w:right w:w="100" w:type="dxa"/>
            </w:tcMar>
          </w:tcPr>
          <w:p w14:paraId="6FD4D532" w14:textId="77777777" w:rsidR="00432615" w:rsidRDefault="00C16B7D">
            <w:pPr>
              <w:widowControl w:val="0"/>
              <w:spacing w:line="240" w:lineRule="auto"/>
            </w:pPr>
            <w:r>
              <w:t xml:space="preserve">Confirm content, writing structure and </w:t>
            </w:r>
            <w:proofErr w:type="gramStart"/>
            <w:r>
              <w:t>template</w:t>
            </w:r>
            <w:proofErr w:type="gramEnd"/>
          </w:p>
          <w:p w14:paraId="6FD4D533" w14:textId="77777777" w:rsidR="00432615" w:rsidRDefault="00C16B7D">
            <w:pPr>
              <w:widowControl w:val="0"/>
              <w:spacing w:line="240" w:lineRule="auto"/>
            </w:pPr>
            <w:r>
              <w:t>Appoint steering group</w:t>
            </w:r>
          </w:p>
        </w:tc>
      </w:tr>
    </w:tbl>
    <w:p w14:paraId="6FD4D535" w14:textId="77777777" w:rsidR="00432615" w:rsidRDefault="00432615">
      <w:pPr>
        <w:rPr>
          <w:u w:val="single"/>
        </w:rPr>
      </w:pPr>
    </w:p>
    <w:p w14:paraId="6FD4D536" w14:textId="77777777" w:rsidR="00432615" w:rsidRDefault="00432615">
      <w:pPr>
        <w:rPr>
          <w:u w:val="single"/>
        </w:rPr>
      </w:pPr>
    </w:p>
    <w:p w14:paraId="6FD4D537" w14:textId="77777777" w:rsidR="00432615" w:rsidRDefault="00C16B7D">
      <w:pPr>
        <w:rPr>
          <w:u w:val="single"/>
        </w:rPr>
      </w:pPr>
      <w:r>
        <w:rPr>
          <w:u w:val="single"/>
        </w:rPr>
        <w:t>2024</w:t>
      </w:r>
    </w:p>
    <w:tbl>
      <w:tblPr>
        <w:tblStyle w:val="a0"/>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5"/>
        <w:gridCol w:w="2545"/>
        <w:gridCol w:w="2545"/>
        <w:gridCol w:w="2545"/>
      </w:tblGrid>
      <w:tr w:rsidR="00432615" w14:paraId="6FD4D53F" w14:textId="77777777">
        <w:tc>
          <w:tcPr>
            <w:tcW w:w="2545" w:type="dxa"/>
            <w:shd w:val="clear" w:color="auto" w:fill="CCCCCC"/>
            <w:tcMar>
              <w:top w:w="100" w:type="dxa"/>
              <w:left w:w="100" w:type="dxa"/>
              <w:bottom w:w="100" w:type="dxa"/>
              <w:right w:w="100" w:type="dxa"/>
            </w:tcMar>
          </w:tcPr>
          <w:p w14:paraId="6FD4D538" w14:textId="77777777" w:rsidR="00432615" w:rsidRDefault="00C16B7D">
            <w:pPr>
              <w:widowControl w:val="0"/>
              <w:pBdr>
                <w:top w:val="nil"/>
                <w:left w:val="nil"/>
                <w:bottom w:val="nil"/>
                <w:right w:val="nil"/>
                <w:between w:val="nil"/>
              </w:pBdr>
              <w:spacing w:line="240" w:lineRule="auto"/>
            </w:pPr>
            <w:r>
              <w:t>Month</w:t>
            </w:r>
          </w:p>
        </w:tc>
        <w:tc>
          <w:tcPr>
            <w:tcW w:w="2545" w:type="dxa"/>
            <w:shd w:val="clear" w:color="auto" w:fill="CCCCCC"/>
            <w:tcMar>
              <w:top w:w="100" w:type="dxa"/>
              <w:left w:w="100" w:type="dxa"/>
              <w:bottom w:w="100" w:type="dxa"/>
              <w:right w:w="100" w:type="dxa"/>
            </w:tcMar>
          </w:tcPr>
          <w:p w14:paraId="6FD4D539" w14:textId="77777777" w:rsidR="00432615" w:rsidRDefault="00C16B7D">
            <w:pPr>
              <w:widowControl w:val="0"/>
              <w:pBdr>
                <w:top w:val="nil"/>
                <w:left w:val="nil"/>
                <w:bottom w:val="nil"/>
                <w:right w:val="nil"/>
                <w:between w:val="nil"/>
              </w:pBdr>
              <w:spacing w:line="240" w:lineRule="auto"/>
            </w:pPr>
            <w:r>
              <w:t xml:space="preserve">Tranche 1 </w:t>
            </w:r>
          </w:p>
          <w:p w14:paraId="6FD4D53A" w14:textId="77777777" w:rsidR="00432615" w:rsidRDefault="00C16B7D">
            <w:pPr>
              <w:widowControl w:val="0"/>
              <w:pBdr>
                <w:top w:val="nil"/>
                <w:left w:val="nil"/>
                <w:bottom w:val="nil"/>
                <w:right w:val="nil"/>
                <w:between w:val="nil"/>
              </w:pBdr>
              <w:spacing w:line="240" w:lineRule="auto"/>
            </w:pPr>
            <w:r>
              <w:t>(3-4 chapters)</w:t>
            </w:r>
          </w:p>
        </w:tc>
        <w:tc>
          <w:tcPr>
            <w:tcW w:w="2545" w:type="dxa"/>
            <w:shd w:val="clear" w:color="auto" w:fill="CCCCCC"/>
            <w:tcMar>
              <w:top w:w="100" w:type="dxa"/>
              <w:left w:w="100" w:type="dxa"/>
              <w:bottom w:w="100" w:type="dxa"/>
              <w:right w:w="100" w:type="dxa"/>
            </w:tcMar>
          </w:tcPr>
          <w:p w14:paraId="6FD4D53B" w14:textId="77777777" w:rsidR="00432615" w:rsidRDefault="00C16B7D">
            <w:pPr>
              <w:widowControl w:val="0"/>
              <w:pBdr>
                <w:top w:val="nil"/>
                <w:left w:val="nil"/>
                <w:bottom w:val="nil"/>
                <w:right w:val="nil"/>
                <w:between w:val="nil"/>
              </w:pBdr>
              <w:spacing w:line="240" w:lineRule="auto"/>
            </w:pPr>
            <w:r>
              <w:t>Tranche 2</w:t>
            </w:r>
          </w:p>
          <w:p w14:paraId="6FD4D53C" w14:textId="77777777" w:rsidR="00432615" w:rsidRDefault="00C16B7D">
            <w:pPr>
              <w:widowControl w:val="0"/>
              <w:pBdr>
                <w:top w:val="nil"/>
                <w:left w:val="nil"/>
                <w:bottom w:val="nil"/>
                <w:right w:val="nil"/>
                <w:between w:val="nil"/>
              </w:pBdr>
              <w:spacing w:line="240" w:lineRule="auto"/>
            </w:pPr>
            <w:r>
              <w:t>(3 chapters)</w:t>
            </w:r>
          </w:p>
        </w:tc>
        <w:tc>
          <w:tcPr>
            <w:tcW w:w="2545" w:type="dxa"/>
            <w:shd w:val="clear" w:color="auto" w:fill="CCCCCC"/>
            <w:tcMar>
              <w:top w:w="100" w:type="dxa"/>
              <w:left w:w="100" w:type="dxa"/>
              <w:bottom w:w="100" w:type="dxa"/>
              <w:right w:w="100" w:type="dxa"/>
            </w:tcMar>
          </w:tcPr>
          <w:p w14:paraId="6FD4D53D" w14:textId="77777777" w:rsidR="00432615" w:rsidRDefault="00C16B7D">
            <w:pPr>
              <w:widowControl w:val="0"/>
              <w:pBdr>
                <w:top w:val="nil"/>
                <w:left w:val="nil"/>
                <w:bottom w:val="nil"/>
                <w:right w:val="nil"/>
                <w:between w:val="nil"/>
              </w:pBdr>
              <w:spacing w:line="240" w:lineRule="auto"/>
            </w:pPr>
            <w:r>
              <w:t>Tranche 3</w:t>
            </w:r>
          </w:p>
          <w:p w14:paraId="6FD4D53E" w14:textId="77777777" w:rsidR="00432615" w:rsidRDefault="00C16B7D">
            <w:pPr>
              <w:widowControl w:val="0"/>
              <w:pBdr>
                <w:top w:val="nil"/>
                <w:left w:val="nil"/>
                <w:bottom w:val="nil"/>
                <w:right w:val="nil"/>
                <w:between w:val="nil"/>
              </w:pBdr>
              <w:spacing w:line="240" w:lineRule="auto"/>
            </w:pPr>
            <w:r>
              <w:t>(2-3 chapters)</w:t>
            </w:r>
          </w:p>
        </w:tc>
      </w:tr>
      <w:tr w:rsidR="00432615" w14:paraId="6FD4D544" w14:textId="77777777">
        <w:trPr>
          <w:trHeight w:val="420"/>
        </w:trPr>
        <w:tc>
          <w:tcPr>
            <w:tcW w:w="2545" w:type="dxa"/>
            <w:shd w:val="clear" w:color="auto" w:fill="auto"/>
            <w:tcMar>
              <w:top w:w="100" w:type="dxa"/>
              <w:left w:w="100" w:type="dxa"/>
              <w:bottom w:w="100" w:type="dxa"/>
              <w:right w:w="100" w:type="dxa"/>
            </w:tcMar>
          </w:tcPr>
          <w:p w14:paraId="6FD4D540" w14:textId="77777777" w:rsidR="00432615" w:rsidRDefault="00C16B7D">
            <w:pPr>
              <w:widowControl w:val="0"/>
              <w:pBdr>
                <w:top w:val="nil"/>
                <w:left w:val="nil"/>
                <w:bottom w:val="nil"/>
                <w:right w:val="nil"/>
                <w:between w:val="nil"/>
              </w:pBdr>
              <w:spacing w:line="240" w:lineRule="auto"/>
            </w:pPr>
            <w:r>
              <w:t>January</w:t>
            </w:r>
          </w:p>
        </w:tc>
        <w:tc>
          <w:tcPr>
            <w:tcW w:w="2545" w:type="dxa"/>
            <w:shd w:val="clear" w:color="auto" w:fill="auto"/>
            <w:tcMar>
              <w:top w:w="100" w:type="dxa"/>
              <w:left w:w="100" w:type="dxa"/>
              <w:bottom w:w="100" w:type="dxa"/>
              <w:right w:w="100" w:type="dxa"/>
            </w:tcMar>
          </w:tcPr>
          <w:p w14:paraId="6FD4D541" w14:textId="77777777" w:rsidR="00432615" w:rsidRDefault="00C16B7D">
            <w:pPr>
              <w:widowControl w:val="0"/>
              <w:pBdr>
                <w:top w:val="nil"/>
                <w:left w:val="nil"/>
                <w:bottom w:val="nil"/>
                <w:right w:val="nil"/>
                <w:between w:val="nil"/>
              </w:pBdr>
              <w:spacing w:line="240" w:lineRule="auto"/>
            </w:pPr>
            <w:r>
              <w:t>Approach content writers and finalise</w:t>
            </w:r>
          </w:p>
        </w:tc>
        <w:tc>
          <w:tcPr>
            <w:tcW w:w="2545" w:type="dxa"/>
            <w:shd w:val="clear" w:color="auto" w:fill="auto"/>
            <w:tcMar>
              <w:top w:w="100" w:type="dxa"/>
              <w:left w:w="100" w:type="dxa"/>
              <w:bottom w:w="100" w:type="dxa"/>
              <w:right w:w="100" w:type="dxa"/>
            </w:tcMar>
          </w:tcPr>
          <w:p w14:paraId="6FD4D542" w14:textId="77777777" w:rsidR="00432615" w:rsidRDefault="00C16B7D">
            <w:pPr>
              <w:widowControl w:val="0"/>
              <w:pBdr>
                <w:top w:val="nil"/>
                <w:left w:val="nil"/>
                <w:bottom w:val="nil"/>
                <w:right w:val="nil"/>
                <w:between w:val="nil"/>
              </w:pBdr>
              <w:spacing w:line="240" w:lineRule="auto"/>
            </w:pPr>
            <w:r>
              <w:t>Approach content writers and finalise</w:t>
            </w:r>
          </w:p>
        </w:tc>
        <w:tc>
          <w:tcPr>
            <w:tcW w:w="2545" w:type="dxa"/>
            <w:shd w:val="clear" w:color="auto" w:fill="auto"/>
            <w:tcMar>
              <w:top w:w="100" w:type="dxa"/>
              <w:left w:w="100" w:type="dxa"/>
              <w:bottom w:w="100" w:type="dxa"/>
              <w:right w:w="100" w:type="dxa"/>
            </w:tcMar>
          </w:tcPr>
          <w:p w14:paraId="6FD4D543" w14:textId="77777777" w:rsidR="00432615" w:rsidRDefault="00C16B7D">
            <w:pPr>
              <w:widowControl w:val="0"/>
              <w:pBdr>
                <w:top w:val="nil"/>
                <w:left w:val="nil"/>
                <w:bottom w:val="nil"/>
                <w:right w:val="nil"/>
                <w:between w:val="nil"/>
              </w:pBdr>
              <w:spacing w:line="240" w:lineRule="auto"/>
            </w:pPr>
            <w:r>
              <w:t>Approach content writers and finalise by end of February</w:t>
            </w:r>
          </w:p>
        </w:tc>
      </w:tr>
      <w:tr w:rsidR="00432615" w14:paraId="6FD4D549" w14:textId="77777777">
        <w:trPr>
          <w:trHeight w:val="420"/>
        </w:trPr>
        <w:tc>
          <w:tcPr>
            <w:tcW w:w="2545" w:type="dxa"/>
            <w:vMerge w:val="restart"/>
            <w:shd w:val="clear" w:color="auto" w:fill="auto"/>
            <w:tcMar>
              <w:top w:w="100" w:type="dxa"/>
              <w:left w:w="100" w:type="dxa"/>
              <w:bottom w:w="100" w:type="dxa"/>
              <w:right w:w="100" w:type="dxa"/>
            </w:tcMar>
          </w:tcPr>
          <w:p w14:paraId="6FD4D545" w14:textId="77777777" w:rsidR="00432615" w:rsidRDefault="00C16B7D">
            <w:pPr>
              <w:widowControl w:val="0"/>
              <w:spacing w:line="240" w:lineRule="auto"/>
            </w:pPr>
            <w:r>
              <w:t>February</w:t>
            </w:r>
          </w:p>
        </w:tc>
        <w:tc>
          <w:tcPr>
            <w:tcW w:w="2545" w:type="dxa"/>
            <w:vMerge w:val="restart"/>
            <w:shd w:val="clear" w:color="auto" w:fill="auto"/>
            <w:tcMar>
              <w:top w:w="100" w:type="dxa"/>
              <w:left w:w="100" w:type="dxa"/>
              <w:bottom w:w="100" w:type="dxa"/>
              <w:right w:w="100" w:type="dxa"/>
            </w:tcMar>
          </w:tcPr>
          <w:p w14:paraId="6FD4D546" w14:textId="77777777" w:rsidR="00432615" w:rsidRDefault="00C16B7D">
            <w:pPr>
              <w:widowControl w:val="0"/>
              <w:pBdr>
                <w:top w:val="nil"/>
                <w:left w:val="nil"/>
                <w:bottom w:val="nil"/>
                <w:right w:val="nil"/>
                <w:between w:val="nil"/>
              </w:pBdr>
              <w:spacing w:line="240" w:lineRule="auto"/>
            </w:pPr>
            <w:r>
              <w:t>Develop content</w:t>
            </w:r>
          </w:p>
        </w:tc>
        <w:tc>
          <w:tcPr>
            <w:tcW w:w="2545" w:type="dxa"/>
            <w:vMerge w:val="restart"/>
            <w:shd w:val="clear" w:color="auto" w:fill="auto"/>
            <w:tcMar>
              <w:top w:w="100" w:type="dxa"/>
              <w:left w:w="100" w:type="dxa"/>
              <w:bottom w:w="100" w:type="dxa"/>
              <w:right w:w="100" w:type="dxa"/>
            </w:tcMar>
          </w:tcPr>
          <w:p w14:paraId="6FD4D547" w14:textId="77777777" w:rsidR="00432615" w:rsidRDefault="00C16B7D">
            <w:pPr>
              <w:widowControl w:val="0"/>
              <w:pBdr>
                <w:top w:val="nil"/>
                <w:left w:val="nil"/>
                <w:bottom w:val="nil"/>
                <w:right w:val="nil"/>
                <w:between w:val="nil"/>
              </w:pBdr>
              <w:spacing w:line="240" w:lineRule="auto"/>
            </w:pPr>
            <w:r>
              <w:t>Develop content</w:t>
            </w:r>
          </w:p>
        </w:tc>
        <w:tc>
          <w:tcPr>
            <w:tcW w:w="2545" w:type="dxa"/>
            <w:vMerge w:val="restart"/>
            <w:shd w:val="clear" w:color="auto" w:fill="auto"/>
            <w:tcMar>
              <w:top w:w="100" w:type="dxa"/>
              <w:left w:w="100" w:type="dxa"/>
              <w:bottom w:w="100" w:type="dxa"/>
              <w:right w:w="100" w:type="dxa"/>
            </w:tcMar>
          </w:tcPr>
          <w:p w14:paraId="6FD4D548" w14:textId="77777777" w:rsidR="00432615" w:rsidRDefault="00C16B7D">
            <w:pPr>
              <w:widowControl w:val="0"/>
              <w:pBdr>
                <w:top w:val="nil"/>
                <w:left w:val="nil"/>
                <w:bottom w:val="nil"/>
                <w:right w:val="nil"/>
                <w:between w:val="nil"/>
              </w:pBdr>
              <w:spacing w:line="240" w:lineRule="auto"/>
            </w:pPr>
            <w:r>
              <w:t>Develop content</w:t>
            </w:r>
          </w:p>
        </w:tc>
      </w:tr>
      <w:tr w:rsidR="00432615" w14:paraId="6FD4D54E" w14:textId="77777777">
        <w:trPr>
          <w:trHeight w:val="253"/>
        </w:trPr>
        <w:tc>
          <w:tcPr>
            <w:tcW w:w="2545" w:type="dxa"/>
            <w:vMerge/>
            <w:shd w:val="clear" w:color="auto" w:fill="auto"/>
            <w:tcMar>
              <w:top w:w="100" w:type="dxa"/>
              <w:left w:w="100" w:type="dxa"/>
              <w:bottom w:w="100" w:type="dxa"/>
              <w:right w:w="100" w:type="dxa"/>
            </w:tcMar>
          </w:tcPr>
          <w:p w14:paraId="6FD4D54A"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4B"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4C"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4D" w14:textId="77777777" w:rsidR="00432615" w:rsidRDefault="00432615">
            <w:pPr>
              <w:widowControl w:val="0"/>
              <w:pBdr>
                <w:top w:val="nil"/>
                <w:left w:val="nil"/>
                <w:bottom w:val="nil"/>
                <w:right w:val="nil"/>
                <w:between w:val="nil"/>
              </w:pBdr>
              <w:spacing w:line="240" w:lineRule="auto"/>
            </w:pPr>
          </w:p>
        </w:tc>
      </w:tr>
      <w:tr w:rsidR="00432615" w14:paraId="6FD4D553" w14:textId="77777777">
        <w:trPr>
          <w:trHeight w:val="420"/>
        </w:trPr>
        <w:tc>
          <w:tcPr>
            <w:tcW w:w="2545" w:type="dxa"/>
            <w:shd w:val="clear" w:color="auto" w:fill="auto"/>
            <w:tcMar>
              <w:top w:w="100" w:type="dxa"/>
              <w:left w:w="100" w:type="dxa"/>
              <w:bottom w:w="100" w:type="dxa"/>
              <w:right w:w="100" w:type="dxa"/>
            </w:tcMar>
          </w:tcPr>
          <w:p w14:paraId="6FD4D54F" w14:textId="77777777" w:rsidR="00432615" w:rsidRDefault="00C16B7D">
            <w:pPr>
              <w:widowControl w:val="0"/>
              <w:pBdr>
                <w:top w:val="nil"/>
                <w:left w:val="nil"/>
                <w:bottom w:val="nil"/>
                <w:right w:val="nil"/>
                <w:between w:val="nil"/>
              </w:pBdr>
              <w:spacing w:line="240" w:lineRule="auto"/>
            </w:pPr>
            <w:r>
              <w:t>March</w:t>
            </w:r>
          </w:p>
        </w:tc>
        <w:tc>
          <w:tcPr>
            <w:tcW w:w="2545" w:type="dxa"/>
            <w:vMerge/>
            <w:shd w:val="clear" w:color="auto" w:fill="auto"/>
            <w:tcMar>
              <w:top w:w="100" w:type="dxa"/>
              <w:left w:w="100" w:type="dxa"/>
              <w:bottom w:w="100" w:type="dxa"/>
              <w:right w:w="100" w:type="dxa"/>
            </w:tcMar>
          </w:tcPr>
          <w:p w14:paraId="6FD4D550"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51"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52" w14:textId="77777777" w:rsidR="00432615" w:rsidRDefault="00432615">
            <w:pPr>
              <w:widowControl w:val="0"/>
              <w:pBdr>
                <w:top w:val="nil"/>
                <w:left w:val="nil"/>
                <w:bottom w:val="nil"/>
                <w:right w:val="nil"/>
                <w:between w:val="nil"/>
              </w:pBdr>
              <w:spacing w:line="240" w:lineRule="auto"/>
            </w:pPr>
          </w:p>
        </w:tc>
      </w:tr>
      <w:tr w:rsidR="00432615" w14:paraId="6FD4D558" w14:textId="77777777">
        <w:trPr>
          <w:trHeight w:val="420"/>
        </w:trPr>
        <w:tc>
          <w:tcPr>
            <w:tcW w:w="2545" w:type="dxa"/>
            <w:shd w:val="clear" w:color="auto" w:fill="auto"/>
            <w:tcMar>
              <w:top w:w="100" w:type="dxa"/>
              <w:left w:w="100" w:type="dxa"/>
              <w:bottom w:w="100" w:type="dxa"/>
              <w:right w:w="100" w:type="dxa"/>
            </w:tcMar>
          </w:tcPr>
          <w:p w14:paraId="6FD4D554" w14:textId="77777777" w:rsidR="00432615" w:rsidRDefault="00C16B7D">
            <w:pPr>
              <w:widowControl w:val="0"/>
              <w:pBdr>
                <w:top w:val="nil"/>
                <w:left w:val="nil"/>
                <w:bottom w:val="nil"/>
                <w:right w:val="nil"/>
                <w:between w:val="nil"/>
              </w:pBdr>
              <w:spacing w:line="240" w:lineRule="auto"/>
            </w:pPr>
            <w:r>
              <w:t>April</w:t>
            </w:r>
          </w:p>
        </w:tc>
        <w:tc>
          <w:tcPr>
            <w:tcW w:w="2545" w:type="dxa"/>
            <w:vMerge/>
            <w:shd w:val="clear" w:color="auto" w:fill="auto"/>
            <w:tcMar>
              <w:top w:w="100" w:type="dxa"/>
              <w:left w:w="100" w:type="dxa"/>
              <w:bottom w:w="100" w:type="dxa"/>
              <w:right w:w="100" w:type="dxa"/>
            </w:tcMar>
          </w:tcPr>
          <w:p w14:paraId="6FD4D555"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56"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57" w14:textId="77777777" w:rsidR="00432615" w:rsidRDefault="00432615">
            <w:pPr>
              <w:widowControl w:val="0"/>
              <w:pBdr>
                <w:top w:val="nil"/>
                <w:left w:val="nil"/>
                <w:bottom w:val="nil"/>
                <w:right w:val="nil"/>
                <w:between w:val="nil"/>
              </w:pBdr>
              <w:spacing w:line="240" w:lineRule="auto"/>
            </w:pPr>
          </w:p>
        </w:tc>
      </w:tr>
      <w:tr w:rsidR="00432615" w14:paraId="6FD4D55D" w14:textId="77777777">
        <w:trPr>
          <w:trHeight w:val="420"/>
        </w:trPr>
        <w:tc>
          <w:tcPr>
            <w:tcW w:w="2545" w:type="dxa"/>
            <w:shd w:val="clear" w:color="auto" w:fill="auto"/>
            <w:tcMar>
              <w:top w:w="100" w:type="dxa"/>
              <w:left w:w="100" w:type="dxa"/>
              <w:bottom w:w="100" w:type="dxa"/>
              <w:right w:w="100" w:type="dxa"/>
            </w:tcMar>
          </w:tcPr>
          <w:p w14:paraId="6FD4D559" w14:textId="77777777" w:rsidR="00432615" w:rsidRDefault="00C16B7D">
            <w:pPr>
              <w:widowControl w:val="0"/>
              <w:pBdr>
                <w:top w:val="nil"/>
                <w:left w:val="nil"/>
                <w:bottom w:val="nil"/>
                <w:right w:val="nil"/>
                <w:between w:val="nil"/>
              </w:pBdr>
              <w:spacing w:line="240" w:lineRule="auto"/>
            </w:pPr>
            <w:r>
              <w:t>May</w:t>
            </w:r>
          </w:p>
        </w:tc>
        <w:tc>
          <w:tcPr>
            <w:tcW w:w="2545" w:type="dxa"/>
            <w:vMerge w:val="restart"/>
            <w:shd w:val="clear" w:color="auto" w:fill="auto"/>
            <w:tcMar>
              <w:top w:w="100" w:type="dxa"/>
              <w:left w:w="100" w:type="dxa"/>
              <w:bottom w:w="100" w:type="dxa"/>
              <w:right w:w="100" w:type="dxa"/>
            </w:tcMar>
          </w:tcPr>
          <w:p w14:paraId="6FD4D55A" w14:textId="77777777" w:rsidR="00432615" w:rsidRDefault="00C16B7D">
            <w:pPr>
              <w:widowControl w:val="0"/>
              <w:pBdr>
                <w:top w:val="nil"/>
                <w:left w:val="nil"/>
                <w:bottom w:val="nil"/>
                <w:right w:val="nil"/>
                <w:between w:val="nil"/>
              </w:pBdr>
              <w:spacing w:line="240" w:lineRule="auto"/>
            </w:pPr>
            <w:r>
              <w:t>Peer review</w:t>
            </w:r>
          </w:p>
        </w:tc>
        <w:tc>
          <w:tcPr>
            <w:tcW w:w="2545" w:type="dxa"/>
            <w:vMerge/>
            <w:shd w:val="clear" w:color="auto" w:fill="auto"/>
            <w:tcMar>
              <w:top w:w="100" w:type="dxa"/>
              <w:left w:w="100" w:type="dxa"/>
              <w:bottom w:w="100" w:type="dxa"/>
              <w:right w:w="100" w:type="dxa"/>
            </w:tcMar>
          </w:tcPr>
          <w:p w14:paraId="6FD4D55B"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5C" w14:textId="77777777" w:rsidR="00432615" w:rsidRDefault="00432615">
            <w:pPr>
              <w:widowControl w:val="0"/>
              <w:pBdr>
                <w:top w:val="nil"/>
                <w:left w:val="nil"/>
                <w:bottom w:val="nil"/>
                <w:right w:val="nil"/>
                <w:between w:val="nil"/>
              </w:pBdr>
              <w:spacing w:line="240" w:lineRule="auto"/>
            </w:pPr>
          </w:p>
        </w:tc>
      </w:tr>
      <w:tr w:rsidR="00432615" w14:paraId="6FD4D562" w14:textId="77777777">
        <w:trPr>
          <w:trHeight w:val="420"/>
        </w:trPr>
        <w:tc>
          <w:tcPr>
            <w:tcW w:w="2545" w:type="dxa"/>
            <w:shd w:val="clear" w:color="auto" w:fill="auto"/>
            <w:tcMar>
              <w:top w:w="100" w:type="dxa"/>
              <w:left w:w="100" w:type="dxa"/>
              <w:bottom w:w="100" w:type="dxa"/>
              <w:right w:w="100" w:type="dxa"/>
            </w:tcMar>
          </w:tcPr>
          <w:p w14:paraId="6FD4D55E" w14:textId="77777777" w:rsidR="00432615" w:rsidRDefault="00C16B7D">
            <w:pPr>
              <w:widowControl w:val="0"/>
              <w:pBdr>
                <w:top w:val="nil"/>
                <w:left w:val="nil"/>
                <w:bottom w:val="nil"/>
                <w:right w:val="nil"/>
                <w:between w:val="nil"/>
              </w:pBdr>
              <w:spacing w:line="240" w:lineRule="auto"/>
            </w:pPr>
            <w:r>
              <w:t>June</w:t>
            </w:r>
          </w:p>
        </w:tc>
        <w:tc>
          <w:tcPr>
            <w:tcW w:w="2545" w:type="dxa"/>
            <w:vMerge/>
            <w:shd w:val="clear" w:color="auto" w:fill="auto"/>
            <w:tcMar>
              <w:top w:w="100" w:type="dxa"/>
              <w:left w:w="100" w:type="dxa"/>
              <w:bottom w:w="100" w:type="dxa"/>
              <w:right w:w="100" w:type="dxa"/>
            </w:tcMar>
          </w:tcPr>
          <w:p w14:paraId="6FD4D55F"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60"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61" w14:textId="77777777" w:rsidR="00432615" w:rsidRDefault="00432615">
            <w:pPr>
              <w:widowControl w:val="0"/>
              <w:pBdr>
                <w:top w:val="nil"/>
                <w:left w:val="nil"/>
                <w:bottom w:val="nil"/>
                <w:right w:val="nil"/>
                <w:between w:val="nil"/>
              </w:pBdr>
              <w:spacing w:line="240" w:lineRule="auto"/>
            </w:pPr>
          </w:p>
        </w:tc>
      </w:tr>
      <w:tr w:rsidR="00432615" w14:paraId="6FD4D567" w14:textId="77777777">
        <w:trPr>
          <w:trHeight w:val="420"/>
        </w:trPr>
        <w:tc>
          <w:tcPr>
            <w:tcW w:w="2545" w:type="dxa"/>
            <w:shd w:val="clear" w:color="auto" w:fill="auto"/>
            <w:tcMar>
              <w:top w:w="100" w:type="dxa"/>
              <w:left w:w="100" w:type="dxa"/>
              <w:bottom w:w="100" w:type="dxa"/>
              <w:right w:w="100" w:type="dxa"/>
            </w:tcMar>
          </w:tcPr>
          <w:p w14:paraId="6FD4D563" w14:textId="77777777" w:rsidR="00432615" w:rsidRDefault="00C16B7D">
            <w:pPr>
              <w:widowControl w:val="0"/>
              <w:pBdr>
                <w:top w:val="nil"/>
                <w:left w:val="nil"/>
                <w:bottom w:val="nil"/>
                <w:right w:val="nil"/>
                <w:between w:val="nil"/>
              </w:pBdr>
              <w:spacing w:line="240" w:lineRule="auto"/>
            </w:pPr>
            <w:r>
              <w:t>July</w:t>
            </w:r>
          </w:p>
        </w:tc>
        <w:tc>
          <w:tcPr>
            <w:tcW w:w="2545" w:type="dxa"/>
            <w:shd w:val="clear" w:color="auto" w:fill="auto"/>
            <w:tcMar>
              <w:top w:w="100" w:type="dxa"/>
              <w:left w:w="100" w:type="dxa"/>
              <w:bottom w:w="100" w:type="dxa"/>
              <w:right w:w="100" w:type="dxa"/>
            </w:tcMar>
          </w:tcPr>
          <w:p w14:paraId="6FD4D564" w14:textId="77777777" w:rsidR="00432615" w:rsidRDefault="00C16B7D">
            <w:pPr>
              <w:widowControl w:val="0"/>
              <w:spacing w:line="240" w:lineRule="auto"/>
            </w:pPr>
            <w:r>
              <w:t>Update content based on peer review</w:t>
            </w:r>
          </w:p>
        </w:tc>
        <w:tc>
          <w:tcPr>
            <w:tcW w:w="2545" w:type="dxa"/>
            <w:vMerge/>
            <w:shd w:val="clear" w:color="auto" w:fill="auto"/>
            <w:tcMar>
              <w:top w:w="100" w:type="dxa"/>
              <w:left w:w="100" w:type="dxa"/>
              <w:bottom w:w="100" w:type="dxa"/>
              <w:right w:w="100" w:type="dxa"/>
            </w:tcMar>
          </w:tcPr>
          <w:p w14:paraId="6FD4D565"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66" w14:textId="77777777" w:rsidR="00432615" w:rsidRDefault="00432615">
            <w:pPr>
              <w:widowControl w:val="0"/>
              <w:pBdr>
                <w:top w:val="nil"/>
                <w:left w:val="nil"/>
                <w:bottom w:val="nil"/>
                <w:right w:val="nil"/>
                <w:between w:val="nil"/>
              </w:pBdr>
              <w:spacing w:line="240" w:lineRule="auto"/>
            </w:pPr>
          </w:p>
        </w:tc>
      </w:tr>
      <w:tr w:rsidR="00432615" w14:paraId="6FD4D56C" w14:textId="77777777">
        <w:trPr>
          <w:trHeight w:val="420"/>
        </w:trPr>
        <w:tc>
          <w:tcPr>
            <w:tcW w:w="2545" w:type="dxa"/>
            <w:shd w:val="clear" w:color="auto" w:fill="auto"/>
            <w:tcMar>
              <w:top w:w="100" w:type="dxa"/>
              <w:left w:w="100" w:type="dxa"/>
              <w:bottom w:w="100" w:type="dxa"/>
              <w:right w:w="100" w:type="dxa"/>
            </w:tcMar>
          </w:tcPr>
          <w:p w14:paraId="6FD4D568" w14:textId="77777777" w:rsidR="00432615" w:rsidRDefault="00C16B7D">
            <w:pPr>
              <w:widowControl w:val="0"/>
              <w:pBdr>
                <w:top w:val="nil"/>
                <w:left w:val="nil"/>
                <w:bottom w:val="nil"/>
                <w:right w:val="nil"/>
                <w:between w:val="nil"/>
              </w:pBdr>
              <w:spacing w:line="240" w:lineRule="auto"/>
            </w:pPr>
            <w:r>
              <w:t>August</w:t>
            </w:r>
          </w:p>
        </w:tc>
        <w:tc>
          <w:tcPr>
            <w:tcW w:w="2545" w:type="dxa"/>
            <w:shd w:val="clear" w:color="auto" w:fill="auto"/>
            <w:tcMar>
              <w:top w:w="100" w:type="dxa"/>
              <w:left w:w="100" w:type="dxa"/>
              <w:bottom w:w="100" w:type="dxa"/>
              <w:right w:w="100" w:type="dxa"/>
            </w:tcMar>
          </w:tcPr>
          <w:p w14:paraId="6FD4D569" w14:textId="77777777" w:rsidR="00432615" w:rsidRDefault="00C16B7D">
            <w:pPr>
              <w:widowControl w:val="0"/>
              <w:pBdr>
                <w:top w:val="nil"/>
                <w:left w:val="nil"/>
                <w:bottom w:val="nil"/>
                <w:right w:val="nil"/>
                <w:between w:val="nil"/>
              </w:pBdr>
              <w:spacing w:line="240" w:lineRule="auto"/>
            </w:pPr>
            <w:r>
              <w:t>Review</w:t>
            </w:r>
          </w:p>
        </w:tc>
        <w:tc>
          <w:tcPr>
            <w:tcW w:w="2545" w:type="dxa"/>
            <w:vMerge/>
            <w:shd w:val="clear" w:color="auto" w:fill="auto"/>
            <w:tcMar>
              <w:top w:w="100" w:type="dxa"/>
              <w:left w:w="100" w:type="dxa"/>
              <w:bottom w:w="100" w:type="dxa"/>
              <w:right w:w="100" w:type="dxa"/>
            </w:tcMar>
          </w:tcPr>
          <w:p w14:paraId="6FD4D56A"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6B" w14:textId="77777777" w:rsidR="00432615" w:rsidRDefault="00432615">
            <w:pPr>
              <w:widowControl w:val="0"/>
              <w:pBdr>
                <w:top w:val="nil"/>
                <w:left w:val="nil"/>
                <w:bottom w:val="nil"/>
                <w:right w:val="nil"/>
                <w:between w:val="nil"/>
              </w:pBdr>
              <w:spacing w:line="240" w:lineRule="auto"/>
            </w:pPr>
          </w:p>
        </w:tc>
      </w:tr>
      <w:tr w:rsidR="00432615" w14:paraId="6FD4D571" w14:textId="77777777">
        <w:trPr>
          <w:trHeight w:val="420"/>
        </w:trPr>
        <w:tc>
          <w:tcPr>
            <w:tcW w:w="2545" w:type="dxa"/>
            <w:shd w:val="clear" w:color="auto" w:fill="auto"/>
            <w:tcMar>
              <w:top w:w="100" w:type="dxa"/>
              <w:left w:w="100" w:type="dxa"/>
              <w:bottom w:w="100" w:type="dxa"/>
              <w:right w:w="100" w:type="dxa"/>
            </w:tcMar>
          </w:tcPr>
          <w:p w14:paraId="6FD4D56D" w14:textId="77777777" w:rsidR="00432615" w:rsidRDefault="00C16B7D">
            <w:pPr>
              <w:widowControl w:val="0"/>
              <w:pBdr>
                <w:top w:val="nil"/>
                <w:left w:val="nil"/>
                <w:bottom w:val="nil"/>
                <w:right w:val="nil"/>
                <w:between w:val="nil"/>
              </w:pBdr>
              <w:spacing w:line="240" w:lineRule="auto"/>
            </w:pPr>
            <w:r>
              <w:t>September</w:t>
            </w:r>
          </w:p>
        </w:tc>
        <w:tc>
          <w:tcPr>
            <w:tcW w:w="2545" w:type="dxa"/>
            <w:shd w:val="clear" w:color="auto" w:fill="auto"/>
            <w:tcMar>
              <w:top w:w="100" w:type="dxa"/>
              <w:left w:w="100" w:type="dxa"/>
              <w:bottom w:w="100" w:type="dxa"/>
              <w:right w:w="100" w:type="dxa"/>
            </w:tcMar>
          </w:tcPr>
          <w:p w14:paraId="6FD4D56E" w14:textId="77777777" w:rsidR="00432615" w:rsidRDefault="00C16B7D">
            <w:pPr>
              <w:widowControl w:val="0"/>
              <w:pBdr>
                <w:top w:val="nil"/>
                <w:left w:val="nil"/>
                <w:bottom w:val="nil"/>
                <w:right w:val="nil"/>
                <w:between w:val="nil"/>
              </w:pBdr>
              <w:spacing w:line="240" w:lineRule="auto"/>
            </w:pPr>
            <w:r>
              <w:t>Finalise content</w:t>
            </w:r>
          </w:p>
        </w:tc>
        <w:tc>
          <w:tcPr>
            <w:tcW w:w="2545" w:type="dxa"/>
            <w:vMerge w:val="restart"/>
            <w:shd w:val="clear" w:color="auto" w:fill="auto"/>
            <w:tcMar>
              <w:top w:w="100" w:type="dxa"/>
              <w:left w:w="100" w:type="dxa"/>
              <w:bottom w:w="100" w:type="dxa"/>
              <w:right w:w="100" w:type="dxa"/>
            </w:tcMar>
          </w:tcPr>
          <w:p w14:paraId="6FD4D56F" w14:textId="77777777" w:rsidR="00432615" w:rsidRDefault="00C16B7D">
            <w:pPr>
              <w:widowControl w:val="0"/>
              <w:pBdr>
                <w:top w:val="nil"/>
                <w:left w:val="nil"/>
                <w:bottom w:val="nil"/>
                <w:right w:val="nil"/>
                <w:between w:val="nil"/>
              </w:pBdr>
              <w:spacing w:line="240" w:lineRule="auto"/>
            </w:pPr>
            <w:r>
              <w:t>Peer review</w:t>
            </w:r>
          </w:p>
        </w:tc>
        <w:tc>
          <w:tcPr>
            <w:tcW w:w="2545" w:type="dxa"/>
            <w:vMerge/>
            <w:shd w:val="clear" w:color="auto" w:fill="auto"/>
            <w:tcMar>
              <w:top w:w="100" w:type="dxa"/>
              <w:left w:w="100" w:type="dxa"/>
              <w:bottom w:w="100" w:type="dxa"/>
              <w:right w:w="100" w:type="dxa"/>
            </w:tcMar>
          </w:tcPr>
          <w:p w14:paraId="6FD4D570" w14:textId="77777777" w:rsidR="00432615" w:rsidRDefault="00432615">
            <w:pPr>
              <w:widowControl w:val="0"/>
              <w:pBdr>
                <w:top w:val="nil"/>
                <w:left w:val="nil"/>
                <w:bottom w:val="nil"/>
                <w:right w:val="nil"/>
                <w:between w:val="nil"/>
              </w:pBdr>
              <w:spacing w:line="240" w:lineRule="auto"/>
            </w:pPr>
          </w:p>
        </w:tc>
      </w:tr>
      <w:tr w:rsidR="00432615" w14:paraId="6FD4D576" w14:textId="77777777">
        <w:trPr>
          <w:trHeight w:val="420"/>
        </w:trPr>
        <w:tc>
          <w:tcPr>
            <w:tcW w:w="2545" w:type="dxa"/>
            <w:shd w:val="clear" w:color="auto" w:fill="auto"/>
            <w:tcMar>
              <w:top w:w="100" w:type="dxa"/>
              <w:left w:w="100" w:type="dxa"/>
              <w:bottom w:w="100" w:type="dxa"/>
              <w:right w:w="100" w:type="dxa"/>
            </w:tcMar>
          </w:tcPr>
          <w:p w14:paraId="6FD4D572" w14:textId="77777777" w:rsidR="00432615" w:rsidRDefault="00C16B7D">
            <w:pPr>
              <w:widowControl w:val="0"/>
              <w:pBdr>
                <w:top w:val="nil"/>
                <w:left w:val="nil"/>
                <w:bottom w:val="nil"/>
                <w:right w:val="nil"/>
                <w:between w:val="nil"/>
              </w:pBdr>
              <w:spacing w:line="240" w:lineRule="auto"/>
            </w:pPr>
            <w:r>
              <w:t>October</w:t>
            </w:r>
          </w:p>
        </w:tc>
        <w:tc>
          <w:tcPr>
            <w:tcW w:w="2545" w:type="dxa"/>
            <w:shd w:val="clear" w:color="auto" w:fill="auto"/>
            <w:tcMar>
              <w:top w:w="100" w:type="dxa"/>
              <w:left w:w="100" w:type="dxa"/>
              <w:bottom w:w="100" w:type="dxa"/>
              <w:right w:w="100" w:type="dxa"/>
            </w:tcMar>
          </w:tcPr>
          <w:p w14:paraId="6FD4D573" w14:textId="77777777" w:rsidR="00432615" w:rsidRDefault="00C16B7D">
            <w:pPr>
              <w:widowControl w:val="0"/>
              <w:pBdr>
                <w:top w:val="nil"/>
                <w:left w:val="nil"/>
                <w:bottom w:val="nil"/>
                <w:right w:val="nil"/>
                <w:between w:val="nil"/>
              </w:pBdr>
              <w:spacing w:line="240" w:lineRule="auto"/>
            </w:pPr>
            <w:r>
              <w:t>Design and final copy</w:t>
            </w:r>
          </w:p>
        </w:tc>
        <w:tc>
          <w:tcPr>
            <w:tcW w:w="2545" w:type="dxa"/>
            <w:vMerge/>
            <w:shd w:val="clear" w:color="auto" w:fill="auto"/>
            <w:tcMar>
              <w:top w:w="100" w:type="dxa"/>
              <w:left w:w="100" w:type="dxa"/>
              <w:bottom w:w="100" w:type="dxa"/>
              <w:right w:w="100" w:type="dxa"/>
            </w:tcMar>
          </w:tcPr>
          <w:p w14:paraId="6FD4D574" w14:textId="77777777" w:rsidR="00432615" w:rsidRDefault="00432615">
            <w:pPr>
              <w:widowControl w:val="0"/>
              <w:pBdr>
                <w:top w:val="nil"/>
                <w:left w:val="nil"/>
                <w:bottom w:val="nil"/>
                <w:right w:val="nil"/>
                <w:between w:val="nil"/>
              </w:pBdr>
              <w:spacing w:line="240" w:lineRule="auto"/>
            </w:pPr>
          </w:p>
        </w:tc>
        <w:tc>
          <w:tcPr>
            <w:tcW w:w="2545" w:type="dxa"/>
            <w:vMerge/>
            <w:shd w:val="clear" w:color="auto" w:fill="auto"/>
            <w:tcMar>
              <w:top w:w="100" w:type="dxa"/>
              <w:left w:w="100" w:type="dxa"/>
              <w:bottom w:w="100" w:type="dxa"/>
              <w:right w:w="100" w:type="dxa"/>
            </w:tcMar>
          </w:tcPr>
          <w:p w14:paraId="6FD4D575" w14:textId="77777777" w:rsidR="00432615" w:rsidRDefault="00432615">
            <w:pPr>
              <w:widowControl w:val="0"/>
              <w:pBdr>
                <w:top w:val="nil"/>
                <w:left w:val="nil"/>
                <w:bottom w:val="nil"/>
                <w:right w:val="nil"/>
                <w:between w:val="nil"/>
              </w:pBdr>
              <w:spacing w:line="240" w:lineRule="auto"/>
            </w:pPr>
          </w:p>
        </w:tc>
      </w:tr>
      <w:tr w:rsidR="00432615" w14:paraId="6FD4D57B" w14:textId="77777777">
        <w:trPr>
          <w:trHeight w:val="420"/>
        </w:trPr>
        <w:tc>
          <w:tcPr>
            <w:tcW w:w="2545" w:type="dxa"/>
            <w:shd w:val="clear" w:color="auto" w:fill="auto"/>
            <w:tcMar>
              <w:top w:w="100" w:type="dxa"/>
              <w:left w:w="100" w:type="dxa"/>
              <w:bottom w:w="100" w:type="dxa"/>
              <w:right w:w="100" w:type="dxa"/>
            </w:tcMar>
          </w:tcPr>
          <w:p w14:paraId="6FD4D577" w14:textId="77777777" w:rsidR="00432615" w:rsidRDefault="00C16B7D">
            <w:pPr>
              <w:widowControl w:val="0"/>
              <w:pBdr>
                <w:top w:val="nil"/>
                <w:left w:val="nil"/>
                <w:bottom w:val="nil"/>
                <w:right w:val="nil"/>
                <w:between w:val="nil"/>
              </w:pBdr>
              <w:spacing w:line="240" w:lineRule="auto"/>
            </w:pPr>
            <w:r>
              <w:t xml:space="preserve">November </w:t>
            </w:r>
          </w:p>
        </w:tc>
        <w:tc>
          <w:tcPr>
            <w:tcW w:w="2545" w:type="dxa"/>
            <w:shd w:val="clear" w:color="auto" w:fill="auto"/>
            <w:tcMar>
              <w:top w:w="100" w:type="dxa"/>
              <w:left w:w="100" w:type="dxa"/>
              <w:bottom w:w="100" w:type="dxa"/>
              <w:right w:w="100" w:type="dxa"/>
            </w:tcMar>
          </w:tcPr>
          <w:p w14:paraId="6FD4D578" w14:textId="77777777" w:rsidR="00432615" w:rsidRDefault="00C16B7D">
            <w:pPr>
              <w:widowControl w:val="0"/>
              <w:pBdr>
                <w:top w:val="nil"/>
                <w:left w:val="nil"/>
                <w:bottom w:val="nil"/>
                <w:right w:val="nil"/>
                <w:between w:val="nil"/>
              </w:pBdr>
              <w:spacing w:line="240" w:lineRule="auto"/>
            </w:pPr>
            <w:r>
              <w:t>Publish ready</w:t>
            </w:r>
          </w:p>
        </w:tc>
        <w:tc>
          <w:tcPr>
            <w:tcW w:w="2545" w:type="dxa"/>
            <w:shd w:val="clear" w:color="auto" w:fill="auto"/>
            <w:tcMar>
              <w:top w:w="100" w:type="dxa"/>
              <w:left w:w="100" w:type="dxa"/>
              <w:bottom w:w="100" w:type="dxa"/>
              <w:right w:w="100" w:type="dxa"/>
            </w:tcMar>
          </w:tcPr>
          <w:p w14:paraId="6FD4D579" w14:textId="77777777" w:rsidR="00432615" w:rsidRDefault="00C16B7D">
            <w:pPr>
              <w:widowControl w:val="0"/>
              <w:pBdr>
                <w:top w:val="nil"/>
                <w:left w:val="nil"/>
                <w:bottom w:val="nil"/>
                <w:right w:val="nil"/>
                <w:between w:val="nil"/>
              </w:pBdr>
              <w:spacing w:line="240" w:lineRule="auto"/>
            </w:pPr>
            <w:r>
              <w:t>Update content based on peer review</w:t>
            </w:r>
          </w:p>
        </w:tc>
        <w:tc>
          <w:tcPr>
            <w:tcW w:w="2545" w:type="dxa"/>
            <w:vMerge/>
            <w:shd w:val="clear" w:color="auto" w:fill="auto"/>
            <w:tcMar>
              <w:top w:w="100" w:type="dxa"/>
              <w:left w:w="100" w:type="dxa"/>
              <w:bottom w:w="100" w:type="dxa"/>
              <w:right w:w="100" w:type="dxa"/>
            </w:tcMar>
          </w:tcPr>
          <w:p w14:paraId="6FD4D57A" w14:textId="77777777" w:rsidR="00432615" w:rsidRDefault="00432615">
            <w:pPr>
              <w:widowControl w:val="0"/>
              <w:pBdr>
                <w:top w:val="nil"/>
                <w:left w:val="nil"/>
                <w:bottom w:val="nil"/>
                <w:right w:val="nil"/>
                <w:between w:val="nil"/>
              </w:pBdr>
              <w:spacing w:line="240" w:lineRule="auto"/>
            </w:pPr>
          </w:p>
        </w:tc>
      </w:tr>
      <w:tr w:rsidR="00432615" w14:paraId="6FD4D580" w14:textId="77777777">
        <w:trPr>
          <w:trHeight w:val="420"/>
        </w:trPr>
        <w:tc>
          <w:tcPr>
            <w:tcW w:w="2545" w:type="dxa"/>
            <w:shd w:val="clear" w:color="auto" w:fill="auto"/>
            <w:tcMar>
              <w:top w:w="100" w:type="dxa"/>
              <w:left w:w="100" w:type="dxa"/>
              <w:bottom w:w="100" w:type="dxa"/>
              <w:right w:w="100" w:type="dxa"/>
            </w:tcMar>
          </w:tcPr>
          <w:p w14:paraId="6FD4D57C" w14:textId="77777777" w:rsidR="00432615" w:rsidRDefault="00C16B7D">
            <w:pPr>
              <w:widowControl w:val="0"/>
              <w:pBdr>
                <w:top w:val="nil"/>
                <w:left w:val="nil"/>
                <w:bottom w:val="nil"/>
                <w:right w:val="nil"/>
                <w:between w:val="nil"/>
              </w:pBdr>
              <w:spacing w:line="240" w:lineRule="auto"/>
            </w:pPr>
            <w:r>
              <w:t>December</w:t>
            </w:r>
          </w:p>
        </w:tc>
        <w:tc>
          <w:tcPr>
            <w:tcW w:w="2545" w:type="dxa"/>
            <w:shd w:val="clear" w:color="auto" w:fill="auto"/>
            <w:tcMar>
              <w:top w:w="100" w:type="dxa"/>
              <w:left w:w="100" w:type="dxa"/>
              <w:bottom w:w="100" w:type="dxa"/>
              <w:right w:w="100" w:type="dxa"/>
            </w:tcMar>
          </w:tcPr>
          <w:p w14:paraId="6FD4D57D" w14:textId="77777777" w:rsidR="00432615" w:rsidRDefault="00C16B7D">
            <w:pPr>
              <w:widowControl w:val="0"/>
              <w:pBdr>
                <w:top w:val="nil"/>
                <w:left w:val="nil"/>
                <w:bottom w:val="nil"/>
                <w:right w:val="nil"/>
                <w:between w:val="nil"/>
              </w:pBdr>
              <w:spacing w:line="240" w:lineRule="auto"/>
            </w:pPr>
            <w:r>
              <w:t>Launch Tranche 1 chapters at Stats Teachers Day (could be late November)</w:t>
            </w:r>
          </w:p>
        </w:tc>
        <w:tc>
          <w:tcPr>
            <w:tcW w:w="2545" w:type="dxa"/>
            <w:shd w:val="clear" w:color="auto" w:fill="auto"/>
            <w:tcMar>
              <w:top w:w="100" w:type="dxa"/>
              <w:left w:w="100" w:type="dxa"/>
              <w:bottom w:w="100" w:type="dxa"/>
              <w:right w:w="100" w:type="dxa"/>
            </w:tcMar>
          </w:tcPr>
          <w:p w14:paraId="6FD4D57E" w14:textId="77777777" w:rsidR="00432615" w:rsidRDefault="00C16B7D">
            <w:pPr>
              <w:widowControl w:val="0"/>
              <w:pBdr>
                <w:top w:val="nil"/>
                <w:left w:val="nil"/>
                <w:bottom w:val="nil"/>
                <w:right w:val="nil"/>
                <w:between w:val="nil"/>
              </w:pBdr>
              <w:spacing w:line="240" w:lineRule="auto"/>
            </w:pPr>
            <w:r>
              <w:t>Review</w:t>
            </w:r>
          </w:p>
        </w:tc>
        <w:tc>
          <w:tcPr>
            <w:tcW w:w="2545" w:type="dxa"/>
            <w:vMerge/>
            <w:shd w:val="clear" w:color="auto" w:fill="auto"/>
            <w:tcMar>
              <w:top w:w="100" w:type="dxa"/>
              <w:left w:w="100" w:type="dxa"/>
              <w:bottom w:w="100" w:type="dxa"/>
              <w:right w:w="100" w:type="dxa"/>
            </w:tcMar>
          </w:tcPr>
          <w:p w14:paraId="6FD4D57F" w14:textId="77777777" w:rsidR="00432615" w:rsidRDefault="00432615">
            <w:pPr>
              <w:widowControl w:val="0"/>
              <w:pBdr>
                <w:top w:val="nil"/>
                <w:left w:val="nil"/>
                <w:bottom w:val="nil"/>
                <w:right w:val="nil"/>
                <w:between w:val="nil"/>
              </w:pBdr>
              <w:spacing w:line="240" w:lineRule="auto"/>
            </w:pPr>
          </w:p>
        </w:tc>
      </w:tr>
    </w:tbl>
    <w:p w14:paraId="6FD4D581" w14:textId="77777777" w:rsidR="00432615" w:rsidRDefault="00432615">
      <w:pPr>
        <w:rPr>
          <w:u w:val="single"/>
        </w:rPr>
      </w:pPr>
    </w:p>
    <w:p w14:paraId="6FD4D582" w14:textId="77777777" w:rsidR="00432615" w:rsidRDefault="00C16B7D">
      <w:pPr>
        <w:rPr>
          <w:u w:val="single"/>
        </w:rPr>
      </w:pPr>
      <w:r>
        <w:rPr>
          <w:u w:val="single"/>
        </w:rPr>
        <w:t>2025</w:t>
      </w:r>
    </w:p>
    <w:tbl>
      <w:tblPr>
        <w:tblStyle w:val="a1"/>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4"/>
        <w:gridCol w:w="3393"/>
        <w:gridCol w:w="3393"/>
      </w:tblGrid>
      <w:tr w:rsidR="00432615" w14:paraId="6FD4D586" w14:textId="77777777">
        <w:tc>
          <w:tcPr>
            <w:tcW w:w="3375" w:type="dxa"/>
            <w:shd w:val="clear" w:color="auto" w:fill="B7B7B7"/>
            <w:tcMar>
              <w:top w:w="100" w:type="dxa"/>
              <w:left w:w="100" w:type="dxa"/>
              <w:bottom w:w="100" w:type="dxa"/>
              <w:right w:w="100" w:type="dxa"/>
            </w:tcMar>
          </w:tcPr>
          <w:p w14:paraId="6FD4D583" w14:textId="77777777" w:rsidR="00432615" w:rsidRDefault="00C16B7D">
            <w:pPr>
              <w:widowControl w:val="0"/>
              <w:spacing w:line="240" w:lineRule="auto"/>
            </w:pPr>
            <w:r>
              <w:t>Month</w:t>
            </w:r>
          </w:p>
        </w:tc>
        <w:tc>
          <w:tcPr>
            <w:tcW w:w="3375" w:type="dxa"/>
            <w:shd w:val="clear" w:color="auto" w:fill="B7B7B7"/>
            <w:tcMar>
              <w:top w:w="100" w:type="dxa"/>
              <w:left w:w="100" w:type="dxa"/>
              <w:bottom w:w="100" w:type="dxa"/>
              <w:right w:w="100" w:type="dxa"/>
            </w:tcMar>
          </w:tcPr>
          <w:p w14:paraId="6FD4D584" w14:textId="77777777" w:rsidR="00432615" w:rsidRDefault="00C16B7D">
            <w:pPr>
              <w:widowControl w:val="0"/>
              <w:spacing w:line="240" w:lineRule="auto"/>
            </w:pPr>
            <w:r>
              <w:t>Tranche 2</w:t>
            </w:r>
          </w:p>
        </w:tc>
        <w:tc>
          <w:tcPr>
            <w:tcW w:w="3375" w:type="dxa"/>
            <w:shd w:val="clear" w:color="auto" w:fill="B7B7B7"/>
            <w:tcMar>
              <w:top w:w="100" w:type="dxa"/>
              <w:left w:w="100" w:type="dxa"/>
              <w:bottom w:w="100" w:type="dxa"/>
              <w:right w:w="100" w:type="dxa"/>
            </w:tcMar>
          </w:tcPr>
          <w:p w14:paraId="6FD4D585" w14:textId="77777777" w:rsidR="00432615" w:rsidRDefault="00C16B7D">
            <w:pPr>
              <w:widowControl w:val="0"/>
              <w:spacing w:line="240" w:lineRule="auto"/>
            </w:pPr>
            <w:r>
              <w:t>Tranche 3</w:t>
            </w:r>
          </w:p>
        </w:tc>
      </w:tr>
      <w:tr w:rsidR="00432615" w14:paraId="6FD4D58A" w14:textId="77777777">
        <w:trPr>
          <w:trHeight w:val="420"/>
        </w:trPr>
        <w:tc>
          <w:tcPr>
            <w:tcW w:w="3375" w:type="dxa"/>
            <w:shd w:val="clear" w:color="auto" w:fill="auto"/>
            <w:tcMar>
              <w:top w:w="100" w:type="dxa"/>
              <w:left w:w="100" w:type="dxa"/>
              <w:bottom w:w="100" w:type="dxa"/>
              <w:right w:w="100" w:type="dxa"/>
            </w:tcMar>
          </w:tcPr>
          <w:p w14:paraId="6FD4D587" w14:textId="77777777" w:rsidR="00432615" w:rsidRDefault="00C16B7D">
            <w:pPr>
              <w:widowControl w:val="0"/>
              <w:spacing w:line="240" w:lineRule="auto"/>
            </w:pPr>
            <w:r>
              <w:t>January</w:t>
            </w:r>
          </w:p>
        </w:tc>
        <w:tc>
          <w:tcPr>
            <w:tcW w:w="3375" w:type="dxa"/>
            <w:shd w:val="clear" w:color="auto" w:fill="auto"/>
            <w:tcMar>
              <w:top w:w="100" w:type="dxa"/>
              <w:left w:w="100" w:type="dxa"/>
              <w:bottom w:w="100" w:type="dxa"/>
              <w:right w:w="100" w:type="dxa"/>
            </w:tcMar>
          </w:tcPr>
          <w:p w14:paraId="6FD4D588" w14:textId="77777777" w:rsidR="00432615" w:rsidRDefault="00C16B7D">
            <w:pPr>
              <w:widowControl w:val="0"/>
              <w:spacing w:line="240" w:lineRule="auto"/>
            </w:pPr>
            <w:r>
              <w:t>Finalise content</w:t>
            </w:r>
          </w:p>
        </w:tc>
        <w:tc>
          <w:tcPr>
            <w:tcW w:w="3375" w:type="dxa"/>
            <w:vMerge w:val="restart"/>
            <w:shd w:val="clear" w:color="auto" w:fill="auto"/>
            <w:tcMar>
              <w:top w:w="100" w:type="dxa"/>
              <w:left w:w="100" w:type="dxa"/>
              <w:bottom w:w="100" w:type="dxa"/>
              <w:right w:w="100" w:type="dxa"/>
            </w:tcMar>
          </w:tcPr>
          <w:p w14:paraId="6FD4D589" w14:textId="77777777" w:rsidR="00432615" w:rsidRDefault="00C16B7D">
            <w:pPr>
              <w:widowControl w:val="0"/>
              <w:spacing w:line="240" w:lineRule="auto"/>
            </w:pPr>
            <w:r>
              <w:t>Peer review</w:t>
            </w:r>
          </w:p>
        </w:tc>
      </w:tr>
      <w:tr w:rsidR="00432615" w14:paraId="6FD4D58E" w14:textId="77777777">
        <w:trPr>
          <w:trHeight w:val="420"/>
        </w:trPr>
        <w:tc>
          <w:tcPr>
            <w:tcW w:w="3375" w:type="dxa"/>
            <w:shd w:val="clear" w:color="auto" w:fill="auto"/>
            <w:tcMar>
              <w:top w:w="100" w:type="dxa"/>
              <w:left w:w="100" w:type="dxa"/>
              <w:bottom w:w="100" w:type="dxa"/>
              <w:right w:w="100" w:type="dxa"/>
            </w:tcMar>
          </w:tcPr>
          <w:p w14:paraId="6FD4D58B" w14:textId="77777777" w:rsidR="00432615" w:rsidRDefault="00C16B7D">
            <w:pPr>
              <w:widowControl w:val="0"/>
              <w:spacing w:line="240" w:lineRule="auto"/>
            </w:pPr>
            <w:r>
              <w:t>February</w:t>
            </w:r>
          </w:p>
        </w:tc>
        <w:tc>
          <w:tcPr>
            <w:tcW w:w="3375" w:type="dxa"/>
            <w:shd w:val="clear" w:color="auto" w:fill="auto"/>
            <w:tcMar>
              <w:top w:w="100" w:type="dxa"/>
              <w:left w:w="100" w:type="dxa"/>
              <w:bottom w:w="100" w:type="dxa"/>
              <w:right w:w="100" w:type="dxa"/>
            </w:tcMar>
          </w:tcPr>
          <w:p w14:paraId="6FD4D58C" w14:textId="77777777" w:rsidR="00432615" w:rsidRDefault="00C16B7D">
            <w:pPr>
              <w:widowControl w:val="0"/>
              <w:spacing w:line="240" w:lineRule="auto"/>
            </w:pPr>
            <w:r>
              <w:t>Design and final copy</w:t>
            </w:r>
          </w:p>
        </w:tc>
        <w:tc>
          <w:tcPr>
            <w:tcW w:w="3375" w:type="dxa"/>
            <w:vMerge/>
            <w:shd w:val="clear" w:color="auto" w:fill="auto"/>
            <w:tcMar>
              <w:top w:w="100" w:type="dxa"/>
              <w:left w:w="100" w:type="dxa"/>
              <w:bottom w:w="100" w:type="dxa"/>
              <w:right w:w="100" w:type="dxa"/>
            </w:tcMar>
          </w:tcPr>
          <w:p w14:paraId="6FD4D58D" w14:textId="77777777" w:rsidR="00432615" w:rsidRDefault="00432615">
            <w:pPr>
              <w:widowControl w:val="0"/>
              <w:spacing w:line="240" w:lineRule="auto"/>
            </w:pPr>
          </w:p>
        </w:tc>
      </w:tr>
      <w:tr w:rsidR="00432615" w14:paraId="6FD4D592" w14:textId="77777777">
        <w:trPr>
          <w:trHeight w:val="420"/>
        </w:trPr>
        <w:tc>
          <w:tcPr>
            <w:tcW w:w="3375" w:type="dxa"/>
            <w:shd w:val="clear" w:color="auto" w:fill="auto"/>
            <w:tcMar>
              <w:top w:w="100" w:type="dxa"/>
              <w:left w:w="100" w:type="dxa"/>
              <w:bottom w:w="100" w:type="dxa"/>
              <w:right w:w="100" w:type="dxa"/>
            </w:tcMar>
          </w:tcPr>
          <w:p w14:paraId="6FD4D58F" w14:textId="77777777" w:rsidR="00432615" w:rsidRDefault="00C16B7D">
            <w:pPr>
              <w:widowControl w:val="0"/>
              <w:spacing w:line="240" w:lineRule="auto"/>
            </w:pPr>
            <w:r>
              <w:t>March</w:t>
            </w:r>
          </w:p>
        </w:tc>
        <w:tc>
          <w:tcPr>
            <w:tcW w:w="3375" w:type="dxa"/>
            <w:shd w:val="clear" w:color="auto" w:fill="auto"/>
            <w:tcMar>
              <w:top w:w="100" w:type="dxa"/>
              <w:left w:w="100" w:type="dxa"/>
              <w:bottom w:w="100" w:type="dxa"/>
              <w:right w:w="100" w:type="dxa"/>
            </w:tcMar>
          </w:tcPr>
          <w:p w14:paraId="6FD4D590" w14:textId="77777777" w:rsidR="00432615" w:rsidRDefault="00C16B7D">
            <w:pPr>
              <w:widowControl w:val="0"/>
              <w:spacing w:line="240" w:lineRule="auto"/>
            </w:pPr>
            <w:r>
              <w:t>Publish ready</w:t>
            </w:r>
          </w:p>
        </w:tc>
        <w:tc>
          <w:tcPr>
            <w:tcW w:w="3375" w:type="dxa"/>
            <w:shd w:val="clear" w:color="auto" w:fill="auto"/>
            <w:tcMar>
              <w:top w:w="100" w:type="dxa"/>
              <w:left w:w="100" w:type="dxa"/>
              <w:bottom w:w="100" w:type="dxa"/>
              <w:right w:w="100" w:type="dxa"/>
            </w:tcMar>
          </w:tcPr>
          <w:p w14:paraId="6FD4D591" w14:textId="77777777" w:rsidR="00432615" w:rsidRDefault="00C16B7D">
            <w:pPr>
              <w:widowControl w:val="0"/>
              <w:spacing w:line="240" w:lineRule="auto"/>
            </w:pPr>
            <w:r>
              <w:t>Update content based on peer review</w:t>
            </w:r>
          </w:p>
        </w:tc>
      </w:tr>
      <w:tr w:rsidR="00432615" w14:paraId="6FD4D596" w14:textId="77777777">
        <w:trPr>
          <w:trHeight w:val="420"/>
        </w:trPr>
        <w:tc>
          <w:tcPr>
            <w:tcW w:w="3375" w:type="dxa"/>
            <w:shd w:val="clear" w:color="auto" w:fill="auto"/>
            <w:tcMar>
              <w:top w:w="100" w:type="dxa"/>
              <w:left w:w="100" w:type="dxa"/>
              <w:bottom w:w="100" w:type="dxa"/>
              <w:right w:w="100" w:type="dxa"/>
            </w:tcMar>
          </w:tcPr>
          <w:p w14:paraId="6FD4D593" w14:textId="77777777" w:rsidR="00432615" w:rsidRDefault="00C16B7D">
            <w:pPr>
              <w:widowControl w:val="0"/>
              <w:spacing w:line="240" w:lineRule="auto"/>
            </w:pPr>
            <w:r>
              <w:t>April</w:t>
            </w:r>
          </w:p>
        </w:tc>
        <w:tc>
          <w:tcPr>
            <w:tcW w:w="3375" w:type="dxa"/>
            <w:shd w:val="clear" w:color="auto" w:fill="auto"/>
            <w:tcMar>
              <w:top w:w="100" w:type="dxa"/>
              <w:left w:w="100" w:type="dxa"/>
              <w:bottom w:w="100" w:type="dxa"/>
              <w:right w:w="100" w:type="dxa"/>
            </w:tcMar>
          </w:tcPr>
          <w:p w14:paraId="6FD4D594" w14:textId="77777777" w:rsidR="00432615" w:rsidRDefault="00C16B7D">
            <w:pPr>
              <w:widowControl w:val="0"/>
              <w:spacing w:line="240" w:lineRule="auto"/>
            </w:pPr>
            <w:r>
              <w:t>Launch Tranche 2 chapters at HOD day</w:t>
            </w:r>
          </w:p>
        </w:tc>
        <w:tc>
          <w:tcPr>
            <w:tcW w:w="3375" w:type="dxa"/>
            <w:shd w:val="clear" w:color="auto" w:fill="auto"/>
            <w:tcMar>
              <w:top w:w="100" w:type="dxa"/>
              <w:left w:w="100" w:type="dxa"/>
              <w:bottom w:w="100" w:type="dxa"/>
              <w:right w:w="100" w:type="dxa"/>
            </w:tcMar>
          </w:tcPr>
          <w:p w14:paraId="6FD4D595" w14:textId="77777777" w:rsidR="00432615" w:rsidRDefault="00C16B7D">
            <w:pPr>
              <w:widowControl w:val="0"/>
              <w:spacing w:line="240" w:lineRule="auto"/>
            </w:pPr>
            <w:r>
              <w:t>Review</w:t>
            </w:r>
          </w:p>
        </w:tc>
      </w:tr>
      <w:tr w:rsidR="00432615" w14:paraId="6FD4D59A" w14:textId="77777777">
        <w:trPr>
          <w:trHeight w:val="420"/>
        </w:trPr>
        <w:tc>
          <w:tcPr>
            <w:tcW w:w="3375" w:type="dxa"/>
            <w:shd w:val="clear" w:color="auto" w:fill="auto"/>
            <w:tcMar>
              <w:top w:w="100" w:type="dxa"/>
              <w:left w:w="100" w:type="dxa"/>
              <w:bottom w:w="100" w:type="dxa"/>
              <w:right w:w="100" w:type="dxa"/>
            </w:tcMar>
          </w:tcPr>
          <w:p w14:paraId="6FD4D597" w14:textId="77777777" w:rsidR="00432615" w:rsidRDefault="00C16B7D">
            <w:pPr>
              <w:widowControl w:val="0"/>
              <w:spacing w:line="240" w:lineRule="auto"/>
            </w:pPr>
            <w:r>
              <w:t>May</w:t>
            </w:r>
          </w:p>
        </w:tc>
        <w:tc>
          <w:tcPr>
            <w:tcW w:w="3375" w:type="dxa"/>
            <w:shd w:val="clear" w:color="auto" w:fill="auto"/>
            <w:tcMar>
              <w:top w:w="100" w:type="dxa"/>
              <w:left w:w="100" w:type="dxa"/>
              <w:bottom w:w="100" w:type="dxa"/>
              <w:right w:w="100" w:type="dxa"/>
            </w:tcMar>
          </w:tcPr>
          <w:p w14:paraId="6FD4D598" w14:textId="77777777" w:rsidR="00432615" w:rsidRDefault="00432615">
            <w:pPr>
              <w:widowControl w:val="0"/>
              <w:spacing w:line="240" w:lineRule="auto"/>
            </w:pPr>
          </w:p>
        </w:tc>
        <w:tc>
          <w:tcPr>
            <w:tcW w:w="3375" w:type="dxa"/>
            <w:shd w:val="clear" w:color="auto" w:fill="auto"/>
            <w:tcMar>
              <w:top w:w="100" w:type="dxa"/>
              <w:left w:w="100" w:type="dxa"/>
              <w:bottom w:w="100" w:type="dxa"/>
              <w:right w:w="100" w:type="dxa"/>
            </w:tcMar>
          </w:tcPr>
          <w:p w14:paraId="6FD4D599" w14:textId="77777777" w:rsidR="00432615" w:rsidRDefault="00C16B7D">
            <w:pPr>
              <w:widowControl w:val="0"/>
              <w:spacing w:line="240" w:lineRule="auto"/>
            </w:pPr>
            <w:r>
              <w:t>Finalise content</w:t>
            </w:r>
          </w:p>
        </w:tc>
      </w:tr>
      <w:tr w:rsidR="00432615" w14:paraId="6FD4D59E" w14:textId="77777777">
        <w:trPr>
          <w:trHeight w:val="420"/>
        </w:trPr>
        <w:tc>
          <w:tcPr>
            <w:tcW w:w="3375" w:type="dxa"/>
            <w:shd w:val="clear" w:color="auto" w:fill="auto"/>
            <w:tcMar>
              <w:top w:w="100" w:type="dxa"/>
              <w:left w:w="100" w:type="dxa"/>
              <w:bottom w:w="100" w:type="dxa"/>
              <w:right w:w="100" w:type="dxa"/>
            </w:tcMar>
          </w:tcPr>
          <w:p w14:paraId="6FD4D59B" w14:textId="77777777" w:rsidR="00432615" w:rsidRDefault="00C16B7D">
            <w:pPr>
              <w:widowControl w:val="0"/>
              <w:spacing w:line="240" w:lineRule="auto"/>
            </w:pPr>
            <w:r>
              <w:lastRenderedPageBreak/>
              <w:t>June</w:t>
            </w:r>
          </w:p>
        </w:tc>
        <w:tc>
          <w:tcPr>
            <w:tcW w:w="3375" w:type="dxa"/>
            <w:shd w:val="clear" w:color="auto" w:fill="auto"/>
            <w:tcMar>
              <w:top w:w="100" w:type="dxa"/>
              <w:left w:w="100" w:type="dxa"/>
              <w:bottom w:w="100" w:type="dxa"/>
              <w:right w:w="100" w:type="dxa"/>
            </w:tcMar>
          </w:tcPr>
          <w:p w14:paraId="6FD4D59C" w14:textId="77777777" w:rsidR="00432615" w:rsidRDefault="00432615">
            <w:pPr>
              <w:widowControl w:val="0"/>
              <w:spacing w:line="240" w:lineRule="auto"/>
            </w:pPr>
          </w:p>
        </w:tc>
        <w:tc>
          <w:tcPr>
            <w:tcW w:w="3375" w:type="dxa"/>
            <w:shd w:val="clear" w:color="auto" w:fill="auto"/>
            <w:tcMar>
              <w:top w:w="100" w:type="dxa"/>
              <w:left w:w="100" w:type="dxa"/>
              <w:bottom w:w="100" w:type="dxa"/>
              <w:right w:w="100" w:type="dxa"/>
            </w:tcMar>
          </w:tcPr>
          <w:p w14:paraId="6FD4D59D" w14:textId="77777777" w:rsidR="00432615" w:rsidRDefault="00C16B7D">
            <w:pPr>
              <w:widowControl w:val="0"/>
              <w:spacing w:line="240" w:lineRule="auto"/>
            </w:pPr>
            <w:r>
              <w:t>Design and final copy</w:t>
            </w:r>
          </w:p>
        </w:tc>
      </w:tr>
      <w:tr w:rsidR="00432615" w14:paraId="6FD4D5A3" w14:textId="77777777">
        <w:trPr>
          <w:trHeight w:val="420"/>
        </w:trPr>
        <w:tc>
          <w:tcPr>
            <w:tcW w:w="3375" w:type="dxa"/>
            <w:shd w:val="clear" w:color="auto" w:fill="auto"/>
            <w:tcMar>
              <w:top w:w="100" w:type="dxa"/>
              <w:left w:w="100" w:type="dxa"/>
              <w:bottom w:w="100" w:type="dxa"/>
              <w:right w:w="100" w:type="dxa"/>
            </w:tcMar>
          </w:tcPr>
          <w:p w14:paraId="6FD4D59F" w14:textId="77777777" w:rsidR="00432615" w:rsidRDefault="00C16B7D">
            <w:pPr>
              <w:widowControl w:val="0"/>
              <w:spacing w:line="240" w:lineRule="auto"/>
            </w:pPr>
            <w:r>
              <w:t>July</w:t>
            </w:r>
          </w:p>
        </w:tc>
        <w:tc>
          <w:tcPr>
            <w:tcW w:w="3375" w:type="dxa"/>
            <w:shd w:val="clear" w:color="auto" w:fill="auto"/>
            <w:tcMar>
              <w:top w:w="100" w:type="dxa"/>
              <w:left w:w="100" w:type="dxa"/>
              <w:bottom w:w="100" w:type="dxa"/>
              <w:right w:w="100" w:type="dxa"/>
            </w:tcMar>
          </w:tcPr>
          <w:p w14:paraId="6FD4D5A0" w14:textId="77777777" w:rsidR="00432615" w:rsidRDefault="00432615">
            <w:pPr>
              <w:widowControl w:val="0"/>
              <w:spacing w:line="240" w:lineRule="auto"/>
            </w:pPr>
          </w:p>
        </w:tc>
        <w:tc>
          <w:tcPr>
            <w:tcW w:w="3375" w:type="dxa"/>
            <w:shd w:val="clear" w:color="auto" w:fill="auto"/>
            <w:tcMar>
              <w:top w:w="100" w:type="dxa"/>
              <w:left w:w="100" w:type="dxa"/>
              <w:bottom w:w="100" w:type="dxa"/>
              <w:right w:w="100" w:type="dxa"/>
            </w:tcMar>
          </w:tcPr>
          <w:p w14:paraId="6FD4D5A1" w14:textId="77777777" w:rsidR="00432615" w:rsidRDefault="00C16B7D">
            <w:pPr>
              <w:widowControl w:val="0"/>
              <w:spacing w:line="240" w:lineRule="auto"/>
            </w:pPr>
            <w:r>
              <w:t xml:space="preserve">Publish </w:t>
            </w:r>
            <w:proofErr w:type="gramStart"/>
            <w:r>
              <w:t>ready</w:t>
            </w:r>
            <w:proofErr w:type="gramEnd"/>
          </w:p>
          <w:p w14:paraId="6FD4D5A2" w14:textId="77777777" w:rsidR="00432615" w:rsidRDefault="00C16B7D">
            <w:pPr>
              <w:widowControl w:val="0"/>
              <w:spacing w:line="240" w:lineRule="auto"/>
            </w:pPr>
            <w:r>
              <w:t>Launch Tranche 3 chapters and complete book at NZAMT conference</w:t>
            </w:r>
          </w:p>
        </w:tc>
      </w:tr>
    </w:tbl>
    <w:p w14:paraId="6FD4D5A4" w14:textId="77777777" w:rsidR="00432615" w:rsidRDefault="00C16B7D">
      <w:r>
        <w:t xml:space="preserve"> </w:t>
      </w:r>
      <w:r>
        <w:br w:type="page"/>
      </w:r>
    </w:p>
    <w:p w14:paraId="6FD4D5A5" w14:textId="77777777" w:rsidR="00432615" w:rsidRDefault="00C16B7D">
      <w:pPr>
        <w:rPr>
          <w:b/>
        </w:rPr>
      </w:pPr>
      <w:r>
        <w:rPr>
          <w:b/>
        </w:rPr>
        <w:lastRenderedPageBreak/>
        <w:t>Risks</w:t>
      </w:r>
    </w:p>
    <w:p w14:paraId="6FD4D5A6" w14:textId="77777777" w:rsidR="00432615" w:rsidRDefault="00432615">
      <w:pPr>
        <w:rPr>
          <w:b/>
        </w:rPr>
      </w:pPr>
    </w:p>
    <w:tbl>
      <w:tblPr>
        <w:tblStyle w:val="a2"/>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0"/>
        <w:gridCol w:w="5090"/>
      </w:tblGrid>
      <w:tr w:rsidR="00432615" w14:paraId="6FD4D5AA" w14:textId="77777777">
        <w:tc>
          <w:tcPr>
            <w:tcW w:w="5090" w:type="dxa"/>
            <w:shd w:val="clear" w:color="auto" w:fill="auto"/>
            <w:tcMar>
              <w:top w:w="100" w:type="dxa"/>
              <w:left w:w="100" w:type="dxa"/>
              <w:bottom w:w="100" w:type="dxa"/>
              <w:right w:w="100" w:type="dxa"/>
            </w:tcMar>
          </w:tcPr>
          <w:p w14:paraId="6FD4D5A7" w14:textId="77777777" w:rsidR="00432615" w:rsidRDefault="00C16B7D">
            <w:pPr>
              <w:widowControl w:val="0"/>
              <w:pBdr>
                <w:top w:val="nil"/>
                <w:left w:val="nil"/>
                <w:bottom w:val="nil"/>
                <w:right w:val="nil"/>
                <w:between w:val="nil"/>
              </w:pBdr>
              <w:spacing w:line="240" w:lineRule="auto"/>
              <w:rPr>
                <w:b/>
              </w:rPr>
            </w:pPr>
            <w:r>
              <w:rPr>
                <w:b/>
              </w:rPr>
              <w:t>Risk</w:t>
            </w:r>
          </w:p>
        </w:tc>
        <w:tc>
          <w:tcPr>
            <w:tcW w:w="5090" w:type="dxa"/>
            <w:shd w:val="clear" w:color="auto" w:fill="auto"/>
            <w:tcMar>
              <w:top w:w="100" w:type="dxa"/>
              <w:left w:w="100" w:type="dxa"/>
              <w:bottom w:w="100" w:type="dxa"/>
              <w:right w:w="100" w:type="dxa"/>
            </w:tcMar>
          </w:tcPr>
          <w:p w14:paraId="6FD4D5A8" w14:textId="77777777" w:rsidR="00432615" w:rsidRDefault="00C16B7D">
            <w:pPr>
              <w:widowControl w:val="0"/>
              <w:pBdr>
                <w:top w:val="nil"/>
                <w:left w:val="nil"/>
                <w:bottom w:val="nil"/>
                <w:right w:val="nil"/>
                <w:between w:val="nil"/>
              </w:pBdr>
              <w:spacing w:line="240" w:lineRule="auto"/>
              <w:rPr>
                <w:b/>
              </w:rPr>
            </w:pPr>
            <w:r>
              <w:rPr>
                <w:b/>
              </w:rPr>
              <w:t>Potential mitigation</w:t>
            </w:r>
          </w:p>
          <w:p w14:paraId="6FD4D5A9" w14:textId="77777777" w:rsidR="00432615" w:rsidRDefault="00432615">
            <w:pPr>
              <w:widowControl w:val="0"/>
              <w:pBdr>
                <w:top w:val="nil"/>
                <w:left w:val="nil"/>
                <w:bottom w:val="nil"/>
                <w:right w:val="nil"/>
                <w:between w:val="nil"/>
              </w:pBdr>
              <w:spacing w:line="240" w:lineRule="auto"/>
              <w:rPr>
                <w:b/>
              </w:rPr>
            </w:pPr>
          </w:p>
        </w:tc>
      </w:tr>
      <w:tr w:rsidR="00432615" w14:paraId="6FD4D5AD" w14:textId="77777777">
        <w:tc>
          <w:tcPr>
            <w:tcW w:w="5090" w:type="dxa"/>
            <w:shd w:val="clear" w:color="auto" w:fill="auto"/>
            <w:tcMar>
              <w:top w:w="100" w:type="dxa"/>
              <w:left w:w="100" w:type="dxa"/>
              <w:bottom w:w="100" w:type="dxa"/>
              <w:right w:w="100" w:type="dxa"/>
            </w:tcMar>
          </w:tcPr>
          <w:p w14:paraId="6FD4D5AB" w14:textId="77777777" w:rsidR="00432615" w:rsidRDefault="00C16B7D">
            <w:pPr>
              <w:rPr>
                <w:b/>
              </w:rPr>
            </w:pPr>
            <w:r>
              <w:t>People no longer available due to unforeseen circumstances</w:t>
            </w:r>
          </w:p>
        </w:tc>
        <w:tc>
          <w:tcPr>
            <w:tcW w:w="5090" w:type="dxa"/>
            <w:shd w:val="clear" w:color="auto" w:fill="auto"/>
            <w:tcMar>
              <w:top w:w="100" w:type="dxa"/>
              <w:left w:w="100" w:type="dxa"/>
              <w:bottom w:w="100" w:type="dxa"/>
              <w:right w:w="100" w:type="dxa"/>
            </w:tcMar>
          </w:tcPr>
          <w:p w14:paraId="6FD4D5AC" w14:textId="77777777" w:rsidR="00432615" w:rsidRDefault="00C16B7D">
            <w:pPr>
              <w:widowControl w:val="0"/>
              <w:pBdr>
                <w:top w:val="nil"/>
                <w:left w:val="nil"/>
                <w:bottom w:val="nil"/>
                <w:right w:val="nil"/>
                <w:between w:val="nil"/>
              </w:pBdr>
              <w:spacing w:line="240" w:lineRule="auto"/>
            </w:pPr>
            <w:r>
              <w:t>Back up writers or teams of at least 3</w:t>
            </w:r>
          </w:p>
        </w:tc>
      </w:tr>
      <w:tr w:rsidR="00432615" w14:paraId="6FD4D5B0" w14:textId="77777777">
        <w:tc>
          <w:tcPr>
            <w:tcW w:w="5090" w:type="dxa"/>
            <w:shd w:val="clear" w:color="auto" w:fill="auto"/>
            <w:tcMar>
              <w:top w:w="100" w:type="dxa"/>
              <w:left w:w="100" w:type="dxa"/>
              <w:bottom w:w="100" w:type="dxa"/>
              <w:right w:w="100" w:type="dxa"/>
            </w:tcMar>
          </w:tcPr>
          <w:p w14:paraId="6FD4D5AE" w14:textId="77777777" w:rsidR="00432615" w:rsidRDefault="00C16B7D">
            <w:pPr>
              <w:widowControl w:val="0"/>
              <w:pBdr>
                <w:top w:val="nil"/>
                <w:left w:val="nil"/>
                <w:bottom w:val="nil"/>
                <w:right w:val="nil"/>
                <w:between w:val="nil"/>
              </w:pBdr>
              <w:spacing w:line="240" w:lineRule="auto"/>
            </w:pPr>
            <w:r>
              <w:t>No funding secured by December 2023</w:t>
            </w:r>
          </w:p>
        </w:tc>
        <w:tc>
          <w:tcPr>
            <w:tcW w:w="5090" w:type="dxa"/>
            <w:shd w:val="clear" w:color="auto" w:fill="auto"/>
            <w:tcMar>
              <w:top w:w="100" w:type="dxa"/>
              <w:left w:w="100" w:type="dxa"/>
              <w:bottom w:w="100" w:type="dxa"/>
              <w:right w:w="100" w:type="dxa"/>
            </w:tcMar>
          </w:tcPr>
          <w:p w14:paraId="6FD4D5AF" w14:textId="77777777" w:rsidR="00432615" w:rsidRDefault="00C16B7D">
            <w:pPr>
              <w:widowControl w:val="0"/>
              <w:pBdr>
                <w:top w:val="nil"/>
                <w:left w:val="nil"/>
                <w:bottom w:val="nil"/>
                <w:right w:val="nil"/>
                <w:between w:val="nil"/>
              </w:pBdr>
              <w:spacing w:line="240" w:lineRule="auto"/>
            </w:pPr>
            <w:r>
              <w:t>Try again in 2024, delay publishing date</w:t>
            </w:r>
          </w:p>
        </w:tc>
      </w:tr>
      <w:tr w:rsidR="00432615" w14:paraId="6FD4D5B3" w14:textId="77777777">
        <w:tc>
          <w:tcPr>
            <w:tcW w:w="5090" w:type="dxa"/>
            <w:shd w:val="clear" w:color="auto" w:fill="auto"/>
            <w:tcMar>
              <w:top w:w="100" w:type="dxa"/>
              <w:left w:w="100" w:type="dxa"/>
              <w:bottom w:w="100" w:type="dxa"/>
              <w:right w:w="100" w:type="dxa"/>
            </w:tcMar>
          </w:tcPr>
          <w:p w14:paraId="6FD4D5B1" w14:textId="77777777" w:rsidR="00432615" w:rsidRDefault="00C16B7D">
            <w:pPr>
              <w:widowControl w:val="0"/>
              <w:pBdr>
                <w:top w:val="nil"/>
                <w:left w:val="nil"/>
                <w:bottom w:val="nil"/>
                <w:right w:val="nil"/>
                <w:between w:val="nil"/>
              </w:pBdr>
              <w:spacing w:line="240" w:lineRule="auto"/>
            </w:pPr>
            <w:r>
              <w:t>Insufficient funding</w:t>
            </w:r>
          </w:p>
        </w:tc>
        <w:tc>
          <w:tcPr>
            <w:tcW w:w="5090" w:type="dxa"/>
            <w:shd w:val="clear" w:color="auto" w:fill="auto"/>
            <w:tcMar>
              <w:top w:w="100" w:type="dxa"/>
              <w:left w:w="100" w:type="dxa"/>
              <w:bottom w:w="100" w:type="dxa"/>
              <w:right w:w="100" w:type="dxa"/>
            </w:tcMar>
          </w:tcPr>
          <w:p w14:paraId="6FD4D5B2" w14:textId="77777777" w:rsidR="00432615" w:rsidRDefault="00C16B7D">
            <w:pPr>
              <w:widowControl w:val="0"/>
              <w:pBdr>
                <w:top w:val="nil"/>
                <w:left w:val="nil"/>
                <w:bottom w:val="nil"/>
                <w:right w:val="nil"/>
                <w:between w:val="nil"/>
              </w:pBdr>
              <w:spacing w:line="240" w:lineRule="auto"/>
            </w:pPr>
            <w:r>
              <w:t>Make a start with part of the project that fits with the funding available</w:t>
            </w:r>
          </w:p>
        </w:tc>
      </w:tr>
    </w:tbl>
    <w:p w14:paraId="6FD4D5B4" w14:textId="77777777" w:rsidR="00432615" w:rsidRDefault="00432615">
      <w:pPr>
        <w:rPr>
          <w:b/>
        </w:rPr>
      </w:pPr>
    </w:p>
    <w:p w14:paraId="6FD4D5B5" w14:textId="77777777" w:rsidR="00432615" w:rsidRDefault="00432615"/>
    <w:p w14:paraId="6FD4D5B6" w14:textId="77777777" w:rsidR="00432615" w:rsidRDefault="00C16B7D">
      <w:pPr>
        <w:rPr>
          <w:b/>
        </w:rPr>
      </w:pPr>
      <w:r>
        <w:rPr>
          <w:b/>
        </w:rPr>
        <w:t>Publishing deliverables:</w:t>
      </w:r>
    </w:p>
    <w:p w14:paraId="6FD4D5B7"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Cover design (unlimited revisions)</w:t>
      </w:r>
    </w:p>
    <w:p w14:paraId="6FD4D5B8"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Branding (unlimited revisions, with book sample provided)</w:t>
      </w:r>
    </w:p>
    <w:p w14:paraId="6FD4D5B9"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 xml:space="preserve">Interior design and formatting, including formulae, clickable table of contents, cross-references, endnotes, and footnotes, as </w:t>
      </w:r>
      <w:proofErr w:type="gramStart"/>
      <w:r>
        <w:rPr>
          <w:rFonts w:ascii="Noto Sans" w:eastAsia="Noto Sans" w:hAnsi="Noto Sans" w:cs="Noto Sans"/>
          <w:sz w:val="20"/>
          <w:szCs w:val="20"/>
        </w:rPr>
        <w:t>applicable</w:t>
      </w:r>
      <w:proofErr w:type="gramEnd"/>
    </w:p>
    <w:p w14:paraId="6FD4D5BA"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Assuming no stock images need to be purchased</w:t>
      </w:r>
    </w:p>
    <w:p w14:paraId="6FD4D5BB"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Assuming no complex diagrams to be created from scratch</w:t>
      </w:r>
    </w:p>
    <w:p w14:paraId="6FD4D5BC"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 xml:space="preserve">Three rounds of revisions of completed interior design and </w:t>
      </w:r>
      <w:proofErr w:type="gramStart"/>
      <w:r>
        <w:rPr>
          <w:rFonts w:ascii="Noto Sans" w:eastAsia="Noto Sans" w:hAnsi="Noto Sans" w:cs="Noto Sans"/>
          <w:sz w:val="20"/>
          <w:szCs w:val="20"/>
        </w:rPr>
        <w:t>formatting</w:t>
      </w:r>
      <w:proofErr w:type="gramEnd"/>
    </w:p>
    <w:p w14:paraId="6FD4D5BD"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Cover provided as PDF and JPG</w:t>
      </w:r>
    </w:p>
    <w:p w14:paraId="6FD4D5BE" w14:textId="77777777" w:rsidR="00432615" w:rsidRDefault="00C16B7D">
      <w:pPr>
        <w:widowControl w:val="0"/>
        <w:numPr>
          <w:ilvl w:val="0"/>
          <w:numId w:val="4"/>
        </w:numPr>
        <w:tabs>
          <w:tab w:val="left" w:pos="707"/>
        </w:tabs>
        <w:spacing w:after="120" w:line="240" w:lineRule="auto"/>
        <w:ind w:hanging="283"/>
        <w:rPr>
          <w:rFonts w:ascii="Noto Sans" w:eastAsia="Noto Sans" w:hAnsi="Noto Sans" w:cs="Noto Sans"/>
          <w:sz w:val="20"/>
          <w:szCs w:val="20"/>
        </w:rPr>
      </w:pPr>
      <w:r>
        <w:rPr>
          <w:rFonts w:ascii="Noto Sans" w:eastAsia="Noto Sans" w:hAnsi="Noto Sans" w:cs="Noto Sans"/>
          <w:sz w:val="20"/>
          <w:szCs w:val="20"/>
        </w:rPr>
        <w:t>Brand style guide provided as PDF (for any other marketing or future reference)</w:t>
      </w:r>
    </w:p>
    <w:p w14:paraId="6FD4D5BF" w14:textId="77777777" w:rsidR="00432615" w:rsidRDefault="00C16B7D">
      <w:pPr>
        <w:widowControl w:val="0"/>
        <w:numPr>
          <w:ilvl w:val="0"/>
          <w:numId w:val="4"/>
        </w:numPr>
        <w:tabs>
          <w:tab w:val="left" w:pos="707"/>
        </w:tabs>
        <w:spacing w:after="120" w:line="240" w:lineRule="auto"/>
        <w:ind w:hanging="283"/>
        <w:rPr>
          <w:rFonts w:ascii="Times New Roman" w:eastAsia="Times New Roman" w:hAnsi="Times New Roman" w:cs="Times New Roman"/>
          <w:sz w:val="24"/>
          <w:szCs w:val="24"/>
        </w:rPr>
      </w:pPr>
      <w:r>
        <w:rPr>
          <w:rFonts w:ascii="Noto Sans" w:eastAsia="Noto Sans" w:hAnsi="Noto Sans" w:cs="Noto Sans"/>
          <w:sz w:val="20"/>
          <w:szCs w:val="20"/>
        </w:rPr>
        <w:t xml:space="preserve">Completed book provided as </w:t>
      </w:r>
      <w:proofErr w:type="gramStart"/>
      <w:r>
        <w:rPr>
          <w:rFonts w:ascii="Noto Sans" w:eastAsia="Noto Sans" w:hAnsi="Noto Sans" w:cs="Noto Sans"/>
          <w:sz w:val="20"/>
          <w:szCs w:val="20"/>
        </w:rPr>
        <w:t>PDF</w:t>
      </w:r>
      <w:proofErr w:type="gramEnd"/>
    </w:p>
    <w:p w14:paraId="6FD4D5C0" w14:textId="77777777" w:rsidR="00432615" w:rsidRDefault="00432615">
      <w:pPr>
        <w:rPr>
          <w:b/>
        </w:rPr>
      </w:pPr>
    </w:p>
    <w:p w14:paraId="6FD4D5C1" w14:textId="77777777" w:rsidR="00432615" w:rsidRDefault="00C16B7D">
      <w:pPr>
        <w:rPr>
          <w:b/>
        </w:rPr>
      </w:pPr>
      <w:r>
        <w:rPr>
          <w:b/>
        </w:rPr>
        <w:t xml:space="preserve">International comments supporting the </w:t>
      </w:r>
      <w:proofErr w:type="gramStart"/>
      <w:r>
        <w:rPr>
          <w:b/>
        </w:rPr>
        <w:t>project</w:t>
      </w:r>
      <w:proofErr w:type="gramEnd"/>
    </w:p>
    <w:p w14:paraId="6FD4D5C2" w14:textId="77777777" w:rsidR="00432615" w:rsidRDefault="00C16B7D">
      <w:pPr>
        <w:spacing w:before="240" w:after="240"/>
        <w:rPr>
          <w:sz w:val="24"/>
          <w:szCs w:val="24"/>
        </w:rPr>
      </w:pPr>
      <w:r>
        <w:rPr>
          <w:sz w:val="24"/>
          <w:szCs w:val="24"/>
        </w:rPr>
        <w:t xml:space="preserve">We approached international members of the NZSA Education Committee and members of the International Association for Statistical Education (IASE) executive members to see how this fitted with their view on probability education around the world as well as New Zealand.  </w:t>
      </w:r>
    </w:p>
    <w:p w14:paraId="6FD4D5C3" w14:textId="77777777" w:rsidR="00432615" w:rsidRDefault="00C16B7D">
      <w:pPr>
        <w:spacing w:before="240" w:after="240"/>
        <w:rPr>
          <w:i/>
          <w:sz w:val="24"/>
          <w:szCs w:val="24"/>
        </w:rPr>
      </w:pPr>
      <w:r>
        <w:rPr>
          <w:i/>
          <w:sz w:val="24"/>
          <w:szCs w:val="24"/>
        </w:rPr>
        <w:t>Professor Rhys C Jones | Royal Statistical Society teaching section and Education Policy Advisory Group, and NZSA Education Committee member, United Kingdom</w:t>
      </w:r>
    </w:p>
    <w:p w14:paraId="6FD4D5C4" w14:textId="77777777" w:rsidR="00432615" w:rsidRDefault="00C16B7D">
      <w:pPr>
        <w:spacing w:before="240" w:after="240"/>
        <w:rPr>
          <w:sz w:val="24"/>
          <w:szCs w:val="24"/>
        </w:rPr>
      </w:pPr>
      <w:r>
        <w:rPr>
          <w:sz w:val="24"/>
          <w:szCs w:val="24"/>
        </w:rPr>
        <w:t xml:space="preserve">I fully support this much needed resource, and think it is a great idea. The associated resources will help to make a big difference in the classrooms of Aotearoa, and I look forward to supporting this proposal further in the future. </w:t>
      </w:r>
    </w:p>
    <w:p w14:paraId="6FD4D5C5" w14:textId="77777777" w:rsidR="00432615" w:rsidRDefault="00C16B7D">
      <w:pPr>
        <w:spacing w:before="240" w:after="240"/>
        <w:rPr>
          <w:i/>
          <w:sz w:val="24"/>
          <w:szCs w:val="24"/>
        </w:rPr>
      </w:pPr>
      <w:r>
        <w:rPr>
          <w:i/>
          <w:sz w:val="24"/>
          <w:szCs w:val="24"/>
        </w:rPr>
        <w:t>Associate Professor Ayse Bilgin | IASE immediate Past President, Macquarie University, Australia</w:t>
      </w:r>
    </w:p>
    <w:p w14:paraId="6FD4D5C6" w14:textId="77777777" w:rsidR="00432615" w:rsidRDefault="00C16B7D">
      <w:pPr>
        <w:spacing w:before="240" w:after="240"/>
        <w:rPr>
          <w:sz w:val="24"/>
          <w:szCs w:val="24"/>
        </w:rPr>
      </w:pPr>
      <w:r>
        <w:rPr>
          <w:sz w:val="24"/>
          <w:szCs w:val="24"/>
        </w:rPr>
        <w:t xml:space="preserve">This </w:t>
      </w:r>
      <w:proofErr w:type="gramStart"/>
      <w:r>
        <w:rPr>
          <w:sz w:val="24"/>
          <w:szCs w:val="24"/>
        </w:rPr>
        <w:t>is  a</w:t>
      </w:r>
      <w:proofErr w:type="gramEnd"/>
      <w:r>
        <w:rPr>
          <w:sz w:val="24"/>
          <w:szCs w:val="24"/>
        </w:rPr>
        <w:t xml:space="preserve"> great idea. It is great since it will include local context and </w:t>
      </w:r>
      <w:proofErr w:type="spellStart"/>
      <w:r>
        <w:rPr>
          <w:sz w:val="24"/>
          <w:szCs w:val="24"/>
        </w:rPr>
        <w:t>Maori</w:t>
      </w:r>
      <w:proofErr w:type="spellEnd"/>
      <w:r>
        <w:rPr>
          <w:sz w:val="24"/>
          <w:szCs w:val="24"/>
        </w:rPr>
        <w:t xml:space="preserve"> perspectives where possible for understanding and teaching probability. It would be great if one extra chapter is included on ethics, professional ethics (in statistics) and how ethical decisions are important for probability calculations. Since probability is not just mathematics and numbers but ethics is </w:t>
      </w:r>
      <w:proofErr w:type="gramStart"/>
      <w:r>
        <w:rPr>
          <w:sz w:val="24"/>
          <w:szCs w:val="24"/>
        </w:rPr>
        <w:t>really important</w:t>
      </w:r>
      <w:proofErr w:type="gramEnd"/>
      <w:r>
        <w:rPr>
          <w:sz w:val="24"/>
          <w:szCs w:val="24"/>
        </w:rPr>
        <w:t xml:space="preserve"> too.  </w:t>
      </w:r>
    </w:p>
    <w:p w14:paraId="6FD4D5C7" w14:textId="77777777" w:rsidR="00432615" w:rsidRDefault="00C16B7D">
      <w:pPr>
        <w:spacing w:before="240" w:after="240"/>
        <w:rPr>
          <w:sz w:val="24"/>
          <w:szCs w:val="24"/>
        </w:rPr>
      </w:pPr>
      <w:r>
        <w:rPr>
          <w:sz w:val="24"/>
          <w:szCs w:val="24"/>
        </w:rPr>
        <w:lastRenderedPageBreak/>
        <w:t>I support your proposal. If you want me to be part of reviewers, evaluators, feedback providers for the produced materials, I would be happy to contribute to your proposal as a sounding board.</w:t>
      </w:r>
    </w:p>
    <w:p w14:paraId="6FD4D5C8" w14:textId="77777777" w:rsidR="00432615" w:rsidRDefault="00C16B7D">
      <w:pPr>
        <w:rPr>
          <w:i/>
        </w:rPr>
      </w:pPr>
      <w:r>
        <w:rPr>
          <w:i/>
        </w:rPr>
        <w:t>Christine Franklin | American Statistical Association K-12 Ambassador, NZSA Education Committee member, United States</w:t>
      </w:r>
    </w:p>
    <w:p w14:paraId="6FD4D5C9" w14:textId="77777777" w:rsidR="00432615" w:rsidRDefault="00432615">
      <w:pPr>
        <w:rPr>
          <w:i/>
        </w:rPr>
      </w:pPr>
    </w:p>
    <w:p w14:paraId="6FD4D5CA" w14:textId="77777777" w:rsidR="00432615" w:rsidRDefault="00C16B7D">
      <w:r>
        <w:t xml:space="preserve">I wholeheartedly support the writing of this probability book. I am grateful the Education Committee of NZSA is taking the initiative to develop resources to assist teachers in moving forward with teaching probability in a real-world context. This book will benefit not only students and teachers in New Zealand but students and teachers internationally. </w:t>
      </w:r>
    </w:p>
    <w:p w14:paraId="6FD4D5CB" w14:textId="77777777" w:rsidR="00432615" w:rsidRDefault="00432615"/>
    <w:p w14:paraId="6FD4D5CC" w14:textId="77777777" w:rsidR="00432615" w:rsidRDefault="00C16B7D">
      <w:r>
        <w:t xml:space="preserve">Here in the United States, a leading document for recommendations of school level statistics and probability curriculum is the </w:t>
      </w:r>
      <w:r>
        <w:rPr>
          <w:i/>
        </w:rPr>
        <w:t xml:space="preserve">Pre-K-12 Guidelines for Assessment and Instruction in Statistics Education (GAISE) II. </w:t>
      </w:r>
      <w:r>
        <w:t xml:space="preserve">Although there are numerous resources being developed or available for the statistical investigations and statistical conceptual understanding outlined in </w:t>
      </w:r>
      <w:r>
        <w:rPr>
          <w:i/>
        </w:rPr>
        <w:t>GAISE II</w:t>
      </w:r>
      <w:r>
        <w:t xml:space="preserve">, there are limited resources available for teaching probability and what is available has limited connections to current directions for probability teaching and learning, in particular resources for teaching about risk. </w:t>
      </w:r>
    </w:p>
    <w:p w14:paraId="6FD4D5CD" w14:textId="77777777" w:rsidR="00432615" w:rsidRDefault="00432615"/>
    <w:p w14:paraId="6FD4D5CE" w14:textId="77777777" w:rsidR="00432615" w:rsidRDefault="00C16B7D">
      <w:r>
        <w:t>Risk literacy is being recognized as an essential skill for both individuals and communities. For example, the Risk Know How project (</w:t>
      </w:r>
      <w:hyperlink r:id="rId7">
        <w:r>
          <w:rPr>
            <w:color w:val="954F72"/>
            <w:u w:val="single"/>
          </w:rPr>
          <w:t>https://riskknowhow.org</w:t>
        </w:r>
      </w:hyperlink>
      <w:r>
        <w:t xml:space="preserve"> ) and the risk framework developed for communities to use globally. See the article in </w:t>
      </w:r>
      <w:r>
        <w:rPr>
          <w:i/>
        </w:rPr>
        <w:t xml:space="preserve">Significance Journal </w:t>
      </w:r>
      <w:r>
        <w:t>(</w:t>
      </w:r>
      <w:hyperlink r:id="rId8">
        <w:r>
          <w:rPr>
            <w:color w:val="954F72"/>
            <w:u w:val="single"/>
          </w:rPr>
          <w:t>https://rss.onlinelibrary.wiley.com/doi/abs/10.1111/1740-9713.01590</w:t>
        </w:r>
      </w:hyperlink>
      <w:r>
        <w:t xml:space="preserve"> ) about the risk framework. As in the past, New Zealand is being visionary in establishing both statistics and probability learning outcomes for student success in the future and providing needed resources for teachers. I am happy to support this project in any way needed.</w:t>
      </w:r>
    </w:p>
    <w:p w14:paraId="6FD4D5CF" w14:textId="77777777" w:rsidR="00432615" w:rsidRDefault="00C16B7D">
      <w:pPr>
        <w:rPr>
          <w:rFonts w:ascii="Calibri" w:eastAsia="Calibri" w:hAnsi="Calibri" w:cs="Calibri"/>
        </w:rPr>
      </w:pPr>
      <w:r>
        <w:rPr>
          <w:rFonts w:ascii="Calibri" w:eastAsia="Calibri" w:hAnsi="Calibri" w:cs="Calibri"/>
        </w:rPr>
        <w:t xml:space="preserve"> </w:t>
      </w:r>
    </w:p>
    <w:p w14:paraId="6FD4D5D0" w14:textId="77777777" w:rsidR="00432615" w:rsidRDefault="00432615"/>
    <w:sectPr w:rsidR="00432615">
      <w:pgSz w:w="11906" w:h="16838"/>
      <w:pgMar w:top="863" w:right="863"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0BD" w14:textId="77777777" w:rsidR="00C16B7D" w:rsidRDefault="00C16B7D">
      <w:pPr>
        <w:spacing w:line="240" w:lineRule="auto"/>
      </w:pPr>
      <w:r>
        <w:separator/>
      </w:r>
    </w:p>
  </w:endnote>
  <w:endnote w:type="continuationSeparator" w:id="0">
    <w:p w14:paraId="62C41E10" w14:textId="77777777" w:rsidR="00C16B7D" w:rsidRDefault="00C16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veat">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D05A" w14:textId="77777777" w:rsidR="00C16B7D" w:rsidRDefault="00C16B7D">
      <w:pPr>
        <w:spacing w:line="240" w:lineRule="auto"/>
      </w:pPr>
      <w:r>
        <w:separator/>
      </w:r>
    </w:p>
  </w:footnote>
  <w:footnote w:type="continuationSeparator" w:id="0">
    <w:p w14:paraId="1A2E82C9" w14:textId="77777777" w:rsidR="00C16B7D" w:rsidRDefault="00C16B7D">
      <w:pPr>
        <w:spacing w:line="240" w:lineRule="auto"/>
      </w:pPr>
      <w:r>
        <w:continuationSeparator/>
      </w:r>
    </w:p>
  </w:footnote>
  <w:footnote w:id="1">
    <w:p w14:paraId="6FD4D5D1" w14:textId="77777777" w:rsidR="00432615" w:rsidRDefault="00C16B7D">
      <w:pPr>
        <w:spacing w:line="240" w:lineRule="auto"/>
        <w:rPr>
          <w:sz w:val="20"/>
          <w:szCs w:val="20"/>
        </w:rPr>
      </w:pPr>
      <w:r>
        <w:rPr>
          <w:vertAlign w:val="superscript"/>
        </w:rPr>
        <w:footnoteRef/>
      </w:r>
      <w:r>
        <w:rPr>
          <w:sz w:val="20"/>
          <w:szCs w:val="20"/>
        </w:rPr>
        <w:t xml:space="preserve"> https://curriculumrefresh.education.govt.nz/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2164"/>
    <w:multiLevelType w:val="multilevel"/>
    <w:tmpl w:val="3EDE4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B7B06"/>
    <w:multiLevelType w:val="multilevel"/>
    <w:tmpl w:val="EF36A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F707CB"/>
    <w:multiLevelType w:val="multilevel"/>
    <w:tmpl w:val="6F8CC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494494"/>
    <w:multiLevelType w:val="multilevel"/>
    <w:tmpl w:val="5E60DE58"/>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num w:numId="1" w16cid:durableId="1502088563">
    <w:abstractNumId w:val="2"/>
  </w:num>
  <w:num w:numId="2" w16cid:durableId="1206942039">
    <w:abstractNumId w:val="0"/>
  </w:num>
  <w:num w:numId="3" w16cid:durableId="1773164930">
    <w:abstractNumId w:val="1"/>
  </w:num>
  <w:num w:numId="4" w16cid:durableId="748430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15"/>
    <w:rsid w:val="00432615"/>
    <w:rsid w:val="00C16B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D4E2"/>
  <w15:docId w15:val="{1A9EF22B-3A5E-4B61-B6FD-50C7FD0C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veat" w:eastAsia="Caveat" w:hAnsi="Caveat" w:cs="Caveat"/>
      <w:color w:val="9900FF"/>
      <w:sz w:val="60"/>
      <w:szCs w:val="60"/>
    </w:rPr>
  </w:style>
  <w:style w:type="paragraph" w:styleId="Heading2">
    <w:name w:val="heading 2"/>
    <w:basedOn w:val="Normal"/>
    <w:next w:val="Normal"/>
    <w:uiPriority w:val="9"/>
    <w:semiHidden/>
    <w:unhideWhenUsed/>
    <w:qFormat/>
    <w:pPr>
      <w:keepNext/>
      <w:keepLines/>
      <w:pBdr>
        <w:bottom w:val="none" w:sz="0" w:space="15" w:color="auto"/>
      </w:pBdr>
      <w:spacing w:before="300" w:line="240" w:lineRule="auto"/>
      <w:ind w:right="220"/>
      <w:outlineLvl w:val="1"/>
    </w:pPr>
    <w:rPr>
      <w:rFonts w:ascii="Caveat" w:eastAsia="Caveat" w:hAnsi="Caveat" w:cs="Caveat"/>
      <w:b/>
      <w:sz w:val="48"/>
      <w:szCs w:val="48"/>
    </w:rPr>
  </w:style>
  <w:style w:type="paragraph" w:styleId="Heading3">
    <w:name w:val="heading 3"/>
    <w:basedOn w:val="Normal"/>
    <w:next w:val="Normal"/>
    <w:uiPriority w:val="9"/>
    <w:semiHidden/>
    <w:unhideWhenUsed/>
    <w:qFormat/>
    <w:pPr>
      <w:keepNext/>
      <w:keepLines/>
      <w:spacing w:after="80"/>
      <w:outlineLvl w:val="2"/>
    </w:pPr>
    <w:rPr>
      <w:rFonts w:ascii="Caveat" w:eastAsia="Caveat" w:hAnsi="Caveat" w:cs="Caveat"/>
      <w:color w:val="8E7CC3"/>
      <w:sz w:val="36"/>
      <w:szCs w:val="36"/>
    </w:rPr>
  </w:style>
  <w:style w:type="paragraph" w:styleId="Heading4">
    <w:name w:val="heading 4"/>
    <w:basedOn w:val="Normal"/>
    <w:next w:val="Normal"/>
    <w:uiPriority w:val="9"/>
    <w:semiHidden/>
    <w:unhideWhenUsed/>
    <w:qFormat/>
    <w:pPr>
      <w:keepNext/>
      <w:keepLines/>
      <w:spacing w:before="280" w:after="80"/>
      <w:outlineLvl w:val="3"/>
    </w:pPr>
    <w:rPr>
      <w:b/>
      <w:color w:val="9900FF"/>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ss.onlinelibrary.wiley.com/doi/abs/10.1111/1740-9713.01590" TargetMode="External"/><Relationship Id="rId3" Type="http://schemas.openxmlformats.org/officeDocument/2006/relationships/settings" Target="settings.xml"/><Relationship Id="rId7" Type="http://schemas.openxmlformats.org/officeDocument/2006/relationships/hyperlink" Target="https://riskknowh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Noble</dc:creator>
  <cp:lastModifiedBy>Alasdair Noble</cp:lastModifiedBy>
  <cp:revision>2</cp:revision>
  <dcterms:created xsi:type="dcterms:W3CDTF">2023-11-20T03:09:00Z</dcterms:created>
  <dcterms:modified xsi:type="dcterms:W3CDTF">2023-11-20T03:09:00Z</dcterms:modified>
</cp:coreProperties>
</file>